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BedGgstV — Straftaten und Ordnungswidrigkeiten</w:t>
      </w:r>
    </w:p>
    <w:p>
      <w:r>
        <w:rPr>
          <w:color w:val="555555"/>
          <w:sz w:val="18"/>
        </w:rPr>
        <w:t xml:space="preserve">Bedarfsgegenständeverordnung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(1) Nach § 58 Absatz 1 Nummer 18 des Lebensmittel- und Futtermittelgesetzbuches wird bestraft, wer</w:t>
      </w:r>
    </w:p>
    <w:p>
      <w:pPr>
        <w:ind w:left="420"/>
      </w:pPr>
      <w:r>
        <w:t xml:space="preserve">1. entgegen § 3 bei dem Herstellen oder Behandeln der in Anlage 1 aufgeführten Bedarfsgegenstände dort genannte Stoffe verwendet,</w:t>
      </w:r>
    </w:p>
    <w:p>
      <w:pPr>
        <w:ind w:left="420"/>
      </w:pPr>
      <w:r>
        <w:t xml:space="preserve">2. entgegen § 4 Abs. 1 Satz 1 oder Abs. 1a Satz 1 bei dem Herstellen von Lebensmittelbedarfsgegenständen aus Zellglasfolie</w:t>
      </w:r>
    </w:p>
    <w:p>
      <w:pPr>
        <w:ind w:left="780"/>
      </w:pPr>
      <w:r>
        <w:t xml:space="preserve">a) andere als in der Anlage 2 aufgeführte Stoffe oder</w:t>
      </w:r>
    </w:p>
    <w:p>
      <w:pPr>
        <w:ind w:left="780"/>
      </w:pPr>
      <w:r>
        <w:t xml:space="preserve">b) in Anlage 2 aufgeführte Stoffe unter Nichteinhaltung der dort genannten Verwendungsbeschränkungen</w:t>
      </w:r>
    </w:p>
    <w:p>
      <w:pPr>
        <w:ind w:left="420"/>
      </w:pPr>
      <w:r>
        <w:t xml:space="preserve">verwendet,</w:t>
      </w:r>
    </w:p>
    <w:p>
      <w:pPr>
        <w:ind w:left="420"/>
      </w:pPr>
      <w:r>
        <w:t xml:space="preserve">3. entgegen § 4 Absatz 2 Satz 1 oder Absatz 5 Satz 1, 2 oder 4 einen dort genannten Stoff verwendet,</w:t>
      </w:r>
    </w:p>
    <w:p>
      <w:pPr>
        <w:ind w:left="420"/>
      </w:pPr>
      <w:r>
        <w:t xml:space="preserve">4. entgegen § 5 bei dem Herstellen der in Anlage 4 aufgeführten Bedarfsgegenstände dort genannte Verfahren anwendet,</w:t>
      </w:r>
    </w:p>
    <w:p>
      <w:pPr>
        <w:ind w:left="420"/>
      </w:pPr>
      <w:r>
        <w:t xml:space="preserve">5. entgegen § 7 Absatz 1 einen Lebensmittelbedarfsgegenstand verwendet oder</w:t>
      </w:r>
    </w:p>
    <w:p>
      <w:pPr>
        <w:ind w:left="420"/>
      </w:pPr>
      <w:r>
        <w:t xml:space="preserve">6. entgegen § 7 Absatz 2 eine Zellglasfolie nicht richtig verwendet.</w:t>
      </w:r>
    </w:p>
    <w:p>
      <w:r>
        <w:t xml:space="preserve">(2) Nach § 58 Absatz 3 Nummer 2 des Lebensmittel- und Futtermittelgesetzbuches wird bestraft, wer</w:t>
      </w:r>
    </w:p>
    <w:p>
      <w:pPr>
        <w:ind w:left="420"/>
      </w:pPr>
      <w:r>
        <w:t xml:space="preserve">1. gegen die Verordnung (EG) Nr. 1895/2005 in der Fassung vom 18. November 2005 verstößt, indem er</w:t>
      </w:r>
    </w:p>
    <w:p>
      <w:pPr>
        <w:ind w:left="780"/>
      </w:pPr>
      <w:r>
        <w:t xml:space="preserve">a) entgegen Artikel 3 bei der Herstellung der dort genannten Materialien oder Gegenstände BFDGE verwendet oder</w:t>
      </w:r>
    </w:p>
    <w:p>
      <w:pPr>
        <w:ind w:left="780"/>
      </w:pPr>
      <w:r>
        <w:t xml:space="preserve">b) entgegen Artikel 4 bei der Herstellung der dort genannten Materialien oder Gegenstände NOGE verwendet oder</w:t>
      </w:r>
    </w:p>
    <w:p>
      <w:pPr>
        <w:ind w:left="420"/>
      </w:pPr>
      <w:r>
        <w:t xml:space="preserve">2. gegen die Verordnung (EG) Nr. 450/2009 in der Fassung vom 29. Mai 2009 verstößt, indem er entgegen Artikel 5 Absatz 1 in Verbindung mit Absatz 2 Buchstabe c Ziffer i oder ii einen der dort genannten Stoffe benutzt,</w:t>
      </w:r>
    </w:p>
    <w:p>
      <w:pPr>
        <w:ind w:left="420"/>
      </w:pPr>
      <w:r>
        <w:t xml:space="preserve">3. gegen die Verordnung (EU) 2022/1616 in der Fassung vom 21. Februar 2025 verstößt, indem er entgegen Artikel 4 Absatz 1 Materialien oder Gegenstände aus recyceltem Kunststoff in den Verkehr bringt, die die Anforderungen</w:t>
      </w:r>
    </w:p>
    <w:p>
      <w:pPr>
        <w:ind w:left="780"/>
      </w:pPr>
      <w:r>
        <w:t xml:space="preserve">a) des Artikels 4 Absatz 2 in Verbindung mit Artikel 5 Absatz 1 oder Artikel 9 Absatz 1 Buchstabe c der Verordnung (EU) Nr. 10/2011 in der Fassung vom 21. Februar 2025, jeweils auch in Verbindung mit Artikel 13 Absatz 1 oder Artikel 14 Absatz 1 der Verordnung (EU) Nr. 10/2011 in der Fassung vom 21. Februar 2025, an die Zusammensetzung der Materialien und Gegenstände aus recyceltem Kunststoff,</w:t>
      </w:r>
    </w:p>
    <w:p>
      <w:pPr>
        <w:ind w:left="780"/>
      </w:pPr>
      <w:r>
        <w:t xml:space="preserve">b) des Artikels 4 Absatz 3 Buchstabe a an den Einsatz einer geeigneten Recyclingtechnologie,</w:t>
      </w:r>
    </w:p>
    <w:p>
      <w:pPr>
        <w:ind w:left="780"/>
      </w:pPr>
      <w:r>
        <w:t xml:space="preserve">c) des Artikels 4 Absatz 4 Buchstabe a an das Erfordernis der Zulassung des Recyclingverfahrens,</w:t>
      </w:r>
    </w:p>
    <w:p>
      <w:pPr>
        <w:ind w:left="780"/>
      </w:pPr>
      <w:r>
        <w:t xml:space="preserve">d) des Artikels 4 Absatz 4 Buchstabe b in Verbindung mit Artikel 6 Absatz 1 an die Sammlung und Vorbehandlung von Kunststoffabfällen oder</w:t>
      </w:r>
    </w:p>
    <w:p>
      <w:pPr>
        <w:ind w:left="780"/>
      </w:pPr>
      <w:r>
        <w:t xml:space="preserve">e) des Artikels 4 Absatz 4 Buchstabe b in Verbindung mit Artikel 7 Absatz 1 oder 2 Satz 1 an die Dekontaminierung des Kunststoff-Eingangsmaterials</w:t>
      </w:r>
    </w:p>
    <w:p>
      <w:pPr>
        <w:ind w:left="420"/>
      </w:pPr>
      <w:r>
        <w:t xml:space="preserve">nicht erfüllen oder</w:t>
      </w:r>
    </w:p>
    <w:p>
      <w:pPr>
        <w:ind w:left="420"/>
      </w:pPr>
      <w:r>
        <w:t xml:space="preserve">4. gegen die Verordnung (EU) 2024/3190 in der Fassung vom 19. Dezember 2024 verstößt, indem er entgegen Artikel 3 Absatz 1 Bisphenol A oder seine Salze verwendet oder die dort genannten Lebensmittelkontaktmaterialien oder -gegenstände in Verkehr bringt.</w:t>
      </w:r>
    </w:p>
    <w:p>
      <w:r>
        <w:t xml:space="preserve">(3) Nach § 59 Absatz 1 Nummer 21 Buchstabe a des Lebensmittel- und Futtermittelgesetzbuches wird bestraft, wer entgegen § 6 Satz 1 Bedarfsgegenstände in den Verkehr bringt, wenn sie dort genannte Stoffe über die festgesetzten Höchstmengen oder Restgehalte hinaus enthalten oder freisetzen.</w:t>
      </w:r>
    </w:p>
    <w:p>
      <w:r>
        <w:t xml:space="preserve">(4) Nach § 59 Absatz 3 Nummer 1 des Lebensmittel- und Futtermittelgesetzbuches wird bestraft, wer entgegen Artikel 4 Buchstabe e in Verbindung mit Artikel 10 Absatz 1 der Verordnung (EG) Nr. 450/2009 in der Fassung vom 29. Mai 2009 Materialien und Gegenstände in Verkehr bringt.</w:t>
      </w:r>
    </w:p>
    <w:p>
      <w:r>
        <w:t xml:space="preserve">(5) Ordnungswidrig im Sinne des § 60 Absatz 2 Nummer 26 Buchstabe a des Lebensmittel- und Futtermittelgesetzbuches handelt, wer vorsätzlich oder fahrlässig entgegen § 9 Bedarfsgegenstände in den Verkehr bringt, die nicht oder nicht in der vorgeschriebenen Weise mit Warnhinweisen versehen sind.</w:t>
      </w:r>
    </w:p>
    <w:p>
      <w:r>
        <w:t xml:space="preserve">(6) Ordnungswidrig im Sinne des § 60 Absatz 2 Nummer 26 Buchstabe a des Lebensmittel- und Futtermittelgesetzbuches handelt, wer vorsätzlich oder fahrlässig</w:t>
      </w:r>
    </w:p>
    <w:p>
      <w:pPr>
        <w:ind w:left="420"/>
      </w:pPr>
      <w:r>
        <w:t xml:space="preserve">1. entgegen § 2a Absatz 1 Satz 1 eine Anzeige nicht, nicht richtig, nicht vollständig oder nicht rechtzeitig erstattet,</w:t>
      </w:r>
    </w:p>
    <w:p>
      <w:pPr>
        <w:ind w:left="420"/>
      </w:pPr>
      <w:r>
        <w:t xml:space="preserve">2. entgegen § 2a Absatz 3 eine Mitteilung nicht, nicht richtig, nicht vollständig oder nicht rechtzeitig macht,</w:t>
      </w:r>
    </w:p>
    <w:p>
      <w:pPr>
        <w:ind w:left="420"/>
      </w:pPr>
      <w:r>
        <w:t xml:space="preserve">3. entgegen § 10 Absatz 1a Satz 1, auch in Verbindung mit Absatz 2, oder entgegen § 10 Absatz 2a Satz 1, Absatz 5 oder 6 einen Lebensmittelbedarfsgegenstand oder dort genannte Materialien in den Verkehr bringt,</w:t>
      </w:r>
    </w:p>
    <w:p>
      <w:pPr>
        <w:ind w:left="420"/>
      </w:pPr>
      <w:r>
        <w:t xml:space="preserve">4. entgegen § 10 Absatz 2 Satz 3 und 4 Nachweise nicht, nicht richtig oder nicht vollständig vorhält,</w:t>
      </w:r>
    </w:p>
    <w:p>
      <w:pPr>
        <w:ind w:left="420"/>
      </w:pPr>
      <w:r>
        <w:t xml:space="preserve">5. entgegen § 10 Absatz 3 einen Bedarfsgegenstand abgibt,</w:t>
      </w:r>
    </w:p>
    <w:p>
      <w:pPr>
        <w:ind w:left="420"/>
      </w:pPr>
      <w:r>
        <w:t xml:space="preserve">6. entgegen § 10 Absatz 4 eine Angabe nicht in deutscher Sprache anbringt oder</w:t>
      </w:r>
    </w:p>
    <w:p>
      <w:pPr>
        <w:ind w:left="420"/>
      </w:pPr>
      <w:r>
        <w:t xml:space="preserve">7. entgegen § 10a Absatz 1 Satz 1 oder 2 ein Schuherzeugnis nicht mit den vorgeschriebenen Angaben versieht oder entgegen § 10a Absatz 1 Satz 3 die Anbringung der vorgeschriebenen Kennzeichnung nicht sicherstellt.</w:t>
      </w:r>
    </w:p>
    <w:p>
      <w:r>
        <w:t xml:space="preserve">(7) Ordnungswidrig im Sinne des § 60 Absatz 4 Nummer 2 Buchstabe a des Lebensmittel- und Futtermittelgesetzbuches handelt, wer vorsätzlich oder fahrlässig</w:t>
      </w:r>
    </w:p>
    <w:p>
      <w:pPr>
        <w:ind w:left="420"/>
      </w:pPr>
      <w:r>
        <w:t xml:space="preserve">1. gegen die Verordnung (EG) Nr. 1935/2004 in der Fassung vom 20. Juni 2019 verstößt, indem er</w:t>
      </w:r>
    </w:p>
    <w:p>
      <w:pPr>
        <w:ind w:left="780"/>
      </w:pPr>
      <w:r>
        <w:t xml:space="preserve">a) entgegen Artikel 15 Absatz 1 in Verbindung mit Absatz 3 Materialien oder Gegenstände nicht, nicht richtig, nicht vollständig, nicht in der vorgeschriebenen Weise oder nicht rechtzeitig kennzeichnet,</w:t>
      </w:r>
    </w:p>
    <w:p>
      <w:pPr>
        <w:ind w:left="780"/>
      </w:pPr>
      <w:r>
        <w:t xml:space="preserve">b) entgegen Artikel 17 Absatz 2 Satz 1 nicht über ein System oder Verfahren verfügt oder</w:t>
      </w:r>
    </w:p>
    <w:p>
      <w:pPr>
        <w:ind w:left="780"/>
      </w:pPr>
      <w:r>
        <w:t xml:space="preserve">c) als Unternehmer entgegen Artikel 17 Absatz 2 Satz 2 eine Angabe nicht, nicht richtig, nicht vollständig oder nicht rechtzeitig zur Verfügung stellt,</w:t>
      </w:r>
    </w:p>
    <w:p>
      <w:pPr>
        <w:ind w:left="420"/>
      </w:pPr>
      <w:r>
        <w:t xml:space="preserve">2. gegen die Verordnung (EG) Nr. 2023/2006 in der Fassung vom 21. Februar 2025 verstößt, indem er</w:t>
      </w:r>
    </w:p>
    <w:p>
      <w:pPr>
        <w:ind w:left="780"/>
      </w:pPr>
      <w:r>
        <w:t xml:space="preserve">a) entgegen Artikel 4 Buchstabe b in Verbindung mit Anhang Buchstabe A nicht sicherstellt, dass die Fertigungsverfahren für die in Artikel 1 genannten Materialien und Gegenstände in Übereinstimmung mit den dort genannten ausführlichen Regeln für die gute Herstellungspraxis durchgeführt werden,</w:t>
      </w:r>
    </w:p>
    <w:p>
      <w:pPr>
        <w:ind w:left="780"/>
      </w:pPr>
      <w:r>
        <w:t xml:space="preserve">b) entgegen Artikel 7 Absatz 1 oder Absatz 2 eine dort genannte Unterlage nicht, nicht richtig oder nicht vollständig führt oder</w:t>
      </w:r>
    </w:p>
    <w:p>
      <w:pPr>
        <w:ind w:left="780"/>
      </w:pPr>
      <w:r>
        <w:t xml:space="preserve">c) entgegen Artikel 7 Absatz 3 die Dokumentation den zuständigen Behörden nicht oder nicht rechtzeitig zugänglich macht,</w:t>
      </w:r>
    </w:p>
    <w:p>
      <w:pPr>
        <w:ind w:left="420"/>
      </w:pPr>
      <w:r>
        <w:t xml:space="preserve">3. gegen die Verordnung (EG) Nr. 450/2009 in der Fassung vom 29. Mai 2009 verstößt, indem er</w:t>
      </w:r>
    </w:p>
    <w:p>
      <w:pPr>
        <w:ind w:left="780"/>
      </w:pPr>
      <w:r>
        <w:t xml:space="preserve">a) entgegen Artikel 4 Buchstabe f in Verbindung mit Artikel 12 Absatz 1 und 2 Materialien und Gegenstände in Verkehr bringt oder</w:t>
      </w:r>
    </w:p>
    <w:p>
      <w:pPr>
        <w:ind w:left="780"/>
      </w:pPr>
      <w:r>
        <w:t xml:space="preserve">b) entgegen Artikel 13 eine Unterlage nicht, nicht richtig, nicht vollständig oder nicht rechtzeitig zur Verfügung stellt,</w:t>
      </w:r>
    </w:p>
    <w:p>
      <w:pPr>
        <w:ind w:left="420"/>
      </w:pPr>
      <w:r>
        <w:t xml:space="preserve">4. gegen die Verordnung (EU) 2022/1616 in der Fassung vom 21. Februar 2025 verstößt, indem er</w:t>
      </w:r>
    </w:p>
    <w:p>
      <w:pPr>
        <w:ind w:left="780"/>
      </w:pPr>
      <w:r>
        <w:t xml:space="preserve">a) entgegen Artikel 9 Absatz 1 Unterabsatz 2 in Verbindung mit Unterabsatz 3 Satz 1 die zuständige Behörde nicht, nicht richtig, nicht vollständig oder nicht rechtzeitig informiert,</w:t>
      </w:r>
    </w:p>
    <w:p>
      <w:pPr>
        <w:ind w:left="780"/>
      </w:pPr>
      <w:r>
        <w:t xml:space="preserve">b) entgegen Artikel 10 Absatz 2 Unterabsatz 1 in Verbindung mit Unterabsatz 2 eine Meldung nicht, nicht richtig, nicht vollständig oder nicht rechtzeitig macht,</w:t>
      </w:r>
    </w:p>
    <w:p>
      <w:pPr>
        <w:ind w:left="780"/>
      </w:pPr>
      <w:r>
        <w:t xml:space="preserve">c) als Entwickler entgegen Artikel 10 Absatz 3 Unterabsatz 3 Satz 1 eine dort genannte Information nicht zur Verfügung stellt oder</w:t>
      </w:r>
    </w:p>
    <w:p>
      <w:pPr>
        <w:ind w:left="780"/>
      </w:pPr>
      <w:r>
        <w:t xml:space="preserve">d) entgegen Artikel 25 Absatz 1 Buchstabe a eine Meldung nicht, nicht richtig, nicht vollständig oder nicht rechtzeitig macht oder</w:t>
      </w:r>
    </w:p>
    <w:p>
      <w:pPr>
        <w:ind w:left="420"/>
      </w:pPr>
      <w:r>
        <w:t xml:space="preserve">5. als Unternehmer entgegen Artikel 8 Absatz 3 Satz 2 der Verordnung (EU) 2024/3190 in der Fassung vom 19. Dezember 2024 eine Unterlage nicht, nicht richtig, nicht vollständig oder nicht rechtzeitig zur Verfügung stellt.</w:t>
      </w:r>
    </w:p>
    <w:p>
      <w:r>
        <w:rPr>
          <w:color w:val="555555"/>
          <w:sz w:val="17"/>
        </w:rPr>
        <w:t xml:space="preserve">Zitiervorschlag: § 12 BedGgstV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https://recht.nulegal.eu/gesetze/BedGgstV/12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