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11a BedGgstV — Besondere Vorschriften für die Einfuhr</w:t>
      </w:r>
    </w:p>
    <w:p>
      <w:r>
        <w:rPr>
          <w:color w:val="555555"/>
          <w:sz w:val="18"/>
        </w:rPr>
        <w:t xml:space="preserve">Bedarfsgegenständeverordnung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§ 53 Absatz 1 Satz 1 des Lebensmittel- und Futtermittelgesetzbuches gilt unbeschadet des § 30 Nummer 1 und 2 des Lebensmittel- und Futtermittelgesetzbuches nicht für</w:t>
      </w:r>
    </w:p>
    <w:p>
      <w:pPr>
        <w:ind w:left="420"/>
      </w:pPr>
      <w:r>
        <w:t xml:space="preserve">1. die Beförderung von Bedarfsgegenständen unter zollamtlicher Überwachung und Lagerung von Bedarfsgegenständen in Zolllagern oder Lagern in Freizonen,</w:t>
      </w:r>
    </w:p>
    <w:p>
      <w:pPr>
        <w:ind w:left="420"/>
      </w:pPr>
      <w:r>
        <w:t xml:space="preserve">2. die Veredelung und Umwandlung von Bedarfsgegenständen, solange sich die Bedarfsgegenstände unter zollamtlicher Überwachung befinden,</w:t>
      </w:r>
    </w:p>
    <w:p>
      <w:pPr>
        <w:ind w:left="420"/>
      </w:pPr>
      <w:r>
        <w:t xml:space="preserve">3. Bedarfsgegenstände, die für das Oberhaupt eines auswärtigen Staates oder seines Gefolges verbraucht werden und zum Gebrauch während seines Aufenthaltes im Geltungsbereich dieser Verordnung bestimmt sind,</w:t>
      </w:r>
    </w:p>
    <w:p>
      <w:pPr>
        <w:ind w:left="420"/>
      </w:pPr>
      <w:r>
        <w:t xml:space="preserve">4. Bedarfsgegenstände, die für diplomatische oder konsularische Vertretungen bestimmt sind,</w:t>
      </w:r>
    </w:p>
    <w:p>
      <w:pPr>
        <w:ind w:left="420"/>
      </w:pPr>
      <w:r>
        <w:t xml:space="preserve">5. Bedarfsgegenstände, die ausschließlich für wissenschaftliche Zwecke, für Messen, Ausstellungen oder ähnliche Veranstaltungen bestimmt sind,</w:t>
      </w:r>
    </w:p>
    <w:p>
      <w:pPr>
        <w:ind w:left="420"/>
      </w:pPr>
      <w:r>
        <w:t xml:space="preserve">6. Bedarfsgegenstände, die als Reisebedarf verbracht werden, soweit es sich um Mengen handelt, für die Eingangsabgaben nicht zu erheben sind,</w:t>
      </w:r>
    </w:p>
    <w:p>
      <w:pPr>
        <w:ind w:left="420"/>
      </w:pPr>
      <w:r>
        <w:t xml:space="preserve">7. Bedarfsgegenstände, die in Verkehrsmitteln mitgeführt werden und ausschließlich zum Gebrauch durch die durch diese Verkehrsmittel beförderten Personen bestimmt sind,</w:t>
      </w:r>
    </w:p>
    <w:p>
      <w:pPr>
        <w:ind w:left="420"/>
      </w:pPr>
      <w:r>
        <w:t xml:space="preserve">8. Bedarfsgegenstände in privaten Geschenksendungen, soweit sie zum eigenen Gebrauch des Empfängers bestimmt sind, sowie Bedarfsgegenstände als Geschenke im öffentlichen Interesse,</w:t>
      </w:r>
    </w:p>
    <w:p>
      <w:pPr>
        <w:ind w:left="420"/>
      </w:pPr>
      <w:r>
        <w:t xml:space="preserve">9. Bedarfsgegenständemuster und -proben in geringen Mengen,</w:t>
      </w:r>
    </w:p>
    <w:p>
      <w:pPr>
        <w:ind w:left="420"/>
      </w:pPr>
      <w:r>
        <w:t xml:space="preserve">10. Bedarfsgegenstände als Übersiedlungsgut oder Heiratsgut in Mengen, die üblicherweise als Vorrat gehalten werden,</w:t>
      </w:r>
    </w:p>
    <w:p>
      <w:pPr>
        <w:ind w:left="420"/>
      </w:pPr>
      <w:r>
        <w:t xml:space="preserve">11. Bedarfsgegenstände, die auf Seeschiffen zum Verbrauch auf hoher See bestimmt sind und an Bord des Schiffes verbraucht werden.</w:t>
      </w:r>
    </w:p>
    <w:p>
      <w:r>
        <w:t xml:space="preserve">(2) Sendungen von Lebensmittelbedarfsgegenständen nach Artikel 1 in Verbindung mit Artikel 2 Buchstabe a der Verordnung (EU) Nr. 284/2011 dürfen aus Drittländern nur über einen der benannten spezifischen Orte der ersten Einführung im Sinne des Artikels 5 der Verordnung (EU) Nr. 284/2011 eingeführt werden. Das Bundesamt für Verbraucherschutz und Lebensmittelsicherheit macht die Liste der benannten spezifischen Orte der ersten Einführung im Sinne des Artikels 5 der Verordnung (EU) Nr. 284/2011 im Bundesanzeiger und nachrichtlich auf seiner Internetseite bekannt.</w:t>
      </w:r>
    </w:p>
    <w:p>
      <w:r>
        <w:rPr>
          <w:color w:val="555555"/>
          <w:sz w:val="17"/>
        </w:rPr>
        <w:t xml:space="preserve">Zitiervorschlag: § 11a BedGgstV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https://recht.nulegal.eu/gesetze/BedGgstV/11a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11a BedGgstV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