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11 BedGgstV — Untersuchungsverfahren</w:t>
      </w:r>
    </w:p>
    <w:p>
      <w:r>
        <w:rPr>
          <w:color w:val="555555"/>
          <w:sz w:val="18"/>
        </w:rPr>
        <w:t xml:space="preserve">Bedarfsgegenständeverordnung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in Anlage 10 genannten Untersuchungen sind nach den dort aufgeführten Untersuchungsverfahren durchzuführen.</w:t>
      </w:r>
    </w:p>
    <w:p>
      <w:r>
        <w:rPr>
          <w:color w:val="555555"/>
          <w:sz w:val="17"/>
        </w:rPr>
        <w:t xml:space="preserve">Zitiervorschlag: § 11 BedGgstV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https://recht.nulegal.eu/gesetze/BedGgstV/11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