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BeauftrV</w:t>
      </w:r>
    </w:p>
    <w:p>
      <w:r>
        <w:rPr>
          <w:color w:val="555555"/>
          <w:sz w:val="18"/>
        </w:rPr>
        <w:t xml:space="preserve">Verordnung zur Beauftragung von Luftsportverbänden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Inkrafttreten dieser Verordnung werden alle bisher vom Bundesministerium für Verkehr und digitale Infrastruktur erteilten Anerkennungen und Beauftragungen mit gleichem oder ähnlichem Inhalt in bezug auf Luftsportgeräte gegenstandslos.</w:t>
      </w:r>
    </w:p>
    <w:p>
      <w:r>
        <w:t xml:space="preserve">(2) Diese Verordnung tritt am Tage nach der Verkündung in Kraft.</w:t>
      </w:r>
    </w:p>
    <w:p>
      <w:r>
        <w:rPr>
          <w:color w:val="555555"/>
          <w:sz w:val="17"/>
        </w:rPr>
        <w:t xml:space="preserve">Zitiervorschlag: § 7 BeauftrV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https://recht.nulegal.eu/gesetze/BeauftrV/7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