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BeamtZustVO LRH (Nordrhein-Westfalen) — Inkrafttreten, Außerkrafttreten</w:t>
      </w:r>
    </w:p>
    <w:p>
      <w:r>
        <w:rPr>
          <w:color w:val="555555"/>
          <w:sz w:val="18"/>
        </w:rPr>
        <w:t xml:space="preserve">Beamtenzuständigkeitsverordnung LRH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Gleichzeitig tritt die Beamten- und Disziplinarzuständigkeitsverordnung LRH vom 9. Dezember 2009 (GV. NRW. 2010 S. 16) außer Kraft.</w:t>
      </w:r>
    </w:p>
    <w:p>
      <w:r>
        <w:t xml:space="preserve">Die Präsidentin</w:t>
      </w:r>
    </w:p>
    <w:p>
      <w:r>
        <w:t xml:space="preserve">des Landesrechnungshofs Nordrhein-Westfalen</w:t>
      </w:r>
    </w:p>
    <w:p>
      <w:r>
        <w:rPr>
          <w:color w:val="555555"/>
          <w:sz w:val="17"/>
        </w:rPr>
        <w:t xml:space="preserve">Zitiervorschlag: § 3 BeamtZustVO LRH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https://recht.nulegal.eu/gesetze/BeamtZustVO%20LRH/3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