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BeamtZustVO LRH (Nordrhein-Westfalen) — Zuständigkeiten der Leitungeines Staatlichen Rechnungsprüfungsamtes</w:t>
      </w:r>
    </w:p>
    <w:p>
      <w:r>
        <w:rPr>
          <w:color w:val="555555"/>
          <w:sz w:val="18"/>
        </w:rPr>
        <w:t xml:space="preserve">Beamtenzuständigkeitsverordnung LRH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Leitung eines Staatlichen Rechnungsprüfungsamtes werden folgende Befugnisse übertragen:</w:t>
      </w:r>
    </w:p>
    <w:p>
      <w:r>
        <w:t xml:space="preserve">1. Zustimmung zur Annahme von Belohnungen und Geschenken nach § 42 des Beamtenstatusgesetzes vom 17. Juni 2008 (BGBl. I S. 1010), das zuletzt durch Artikel 4 des Gesetzes vom 31. Mai 2023 (BGBl. 2023 I Nr. 140) geändert worden ist,</w:t>
      </w:r>
    </w:p>
    <w:p>
      <w:r>
        <w:t xml:space="preserve">2. Entscheidungen nach § 45 des Beamtenstatusgesetzes, soweit Ansprüche wegen der Verletzung der Fürsorgepflicht geltend gemacht werden,</w:t>
      </w:r>
    </w:p>
    <w:p>
      <w:r>
        <w:t xml:space="preserve">3. Entscheidungen über Erholungsurlaub nach § 44 des Beamtenstatusgesetzes, § 71 des Landesbeamtengesetzes vom 14. Juni 2016 (GV. NRW. S. 310, ber. S. 642) in der jeweils geltenden Fassung sowie Entscheidungen über Urlaub aus anderen Anlässen (Sonderurlaub) nach § 72 des Landesbeamtengesetzes, soweit er zwölf Arbeitstage im Kalenderjahr nicht übersteigt,</w:t>
      </w:r>
    </w:p>
    <w:p>
      <w:r>
        <w:t xml:space="preserve">4. Führung der Personalnebenakten nach § 83 Absatz 1 Satz 1 des Landesbeamtengesetzes,</w:t>
      </w:r>
    </w:p>
    <w:p>
      <w:r>
        <w:t xml:space="preserve">5. Abordnung zu Ausbildungs-, Schulungs- und Fortbildungsveranstaltungen und</w:t>
      </w:r>
    </w:p>
    <w:p>
      <w:r>
        <w:t xml:space="preserve">6. Änderungsdienst zum Landesamt für Besoldung und Versorgung, soweit die Zuständigkeit für die Personalmaßnahme bei der Leitung des Staatlichen Rechnungsprüfungsamts liegt.</w:t>
      </w:r>
    </w:p>
    <w:p>
      <w:r>
        <w:rPr>
          <w:color w:val="555555"/>
          <w:sz w:val="17"/>
        </w:rPr>
        <w:t xml:space="preserve">Zitiervorschlag: § 2 BeamtZustVO LRH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https://recht.nulegal.eu/gesetze/BeamtZustVO%20LRH/2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