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III. BeamtZustÜAnO</w:t>
      </w:r>
    </w:p>
    <w:p>
      <w:r>
        <w:rPr>
          <w:color w:val="555555"/>
          <w:sz w:val="18"/>
        </w:rPr>
        <w:t xml:space="preserve">Anordnung über die Übertragung von Zuständigkeiten auf dem Gebiet des Beamtenrechts auf den Generaldirektor der Deutschen Bibliothek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Anordnung tritt am Tage nach der Veröffentlichung in Kraft.</w:t>
      </w:r>
    </w:p>
    <w:p>
      <w:r>
        <w:rPr>
          <w:color w:val="555555"/>
          <w:sz w:val="17"/>
        </w:rPr>
        <w:t xml:space="preserve">Zitiervorschlag: III. BeamtZustÜAnO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https://recht.nulegal.eu/gesetze/BeamtZust%C3%9CAnO/iii.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