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BeamtVZustAnO 2016 — Unterrichtungsvorbehalt</w:t>
      </w:r>
    </w:p>
    <w:p>
      <w:r>
        <w:rPr>
          <w:color w:val="555555"/>
          <w:sz w:val="18"/>
        </w:rPr>
        <w:t xml:space="preserve">Beamtenversorgungszuständigkeitsanordnung</w:t>
      </w:r>
    </w:p>
    <w:p>
      <w:r>
        <w:rPr>
          <w:color w:val="555555"/>
          <w:sz w:val="18"/>
        </w:rPr>
        <w:t xml:space="preserve">Historische Fassung: Stand 10.06.2019 bis 21.06.2025. Dies ist nicht die aktuelle Fassung.</w:t>
      </w:r>
    </w:p>
    <w:p>
      <w:r>
        <w:t xml:space="preserve">Ergeben sich bei der Prüfung der Dokumentation des oder der zahlungspflichtigen Dienstherren bei einem Dienstherrnwechsel zum Bund unaufklärbare Abweichungen von dem vom Service-Center ermittelten Betrag, so berichtet das Service-Center der obersten Dienstbehörde, in deren Geschäftsbereich die Beamtin oder der Beamte oder die Richterin oder der Richter gewechselt ist.</w:t>
      </w:r>
    </w:p>
    <w:p>
      <w:r>
        <w:rPr>
          <w:color w:val="555555"/>
          <w:sz w:val="17"/>
        </w:rPr>
        <w:t xml:space="preserve">Zitiervorschlag: § 9 BeamtVZustAnO 2016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https://recht.nulegal.eu/gesetze/BeamtVZustAnO%202016/9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