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 BeamtVG — Unfallfürsorge</w:t>
      </w:r>
    </w:p>
    <w:p>
      <w:r>
        <w:rPr>
          <w:color w:val="555555"/>
          <w:sz w:val="18"/>
        </w:rPr>
        <w:t xml:space="preserve">Beamtenversorgungsgesetz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Für die am 1. Januar 1977 vorhandenen Beamten steht ein vor diesem Zeitpunkt erlittener Dienstunfall im Sinne des bisherigen Bundes- oder Landesrechts dem Dienstunfall im Sinne dieses Gesetzes gleich.</w:t>
      </w:r>
    </w:p>
    <w:p>
      <w:r>
        <w:t xml:space="preserve">(2) (weggefallen)</w:t>
      </w:r>
    </w:p>
    <w:p>
      <w:r>
        <w:t xml:space="preserve">(3) Eine Entschädigung aus einer Unfallversicherung, für die der Dienstherr die Beiträge gezahlt hat, ist auf die Unfallentschädigung nach § 43 Abs. 3 anzurechnen.</w:t>
      </w:r>
    </w:p>
    <w:p>
      <w:r>
        <w:rPr>
          <w:color w:val="555555"/>
          <w:sz w:val="17"/>
        </w:rPr>
        <w:t xml:space="preserve">Zitiervorschlag: § 87 BeamtVG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https://recht.nulegal.eu/gesetze/BeamtVG/87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