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86 BeamtVG — Hinterbliebenenversorgung</w:t>
      </w:r>
    </w:p>
    <w:p>
      <w:r>
        <w:rPr>
          <w:color w:val="555555"/>
          <w:sz w:val="18"/>
        </w:rPr>
        <w:t xml:space="preserve">Beamtenversorgungsgesetz</w:t>
      </w:r>
    </w:p>
    <w:p>
      <w:r>
        <w:rPr>
          <w:color w:val="555555"/>
          <w:sz w:val="18"/>
        </w:rPr>
        <w:t xml:space="preserve">Stand: 10.06.2019 (konsolidierte Textfassung, kein amtliches Inkrafttretensdatum)</w:t>
      </w:r>
    </w:p>
    <w:p>
      <w:r>
        <w:t xml:space="preserve">(1) Die Gewährung von Unterhaltsbeiträgen an geschiedene Ehegatten richtet sich nach den bis zum 31. Dezember 1976 geltenden beamtenrechtlichen Vorschriften, wenn die Ehe vor dem 1. Juli 1977 geschieden, aufgehoben oder für nichtig erklärt worden ist.</w:t>
      </w:r>
    </w:p>
    <w:p>
      <w:r>
        <w:t xml:space="preserve">(2) Die Vorschrift des § 19 Abs. 1 Satz 2 Nr. 2 über den Ausschluss von Witwengeld findet keine Anwendung, wenn die Ehe am 1. Januar 1977 bestanden und das bis zu diesem Zeitpunkt geltende Landesrecht den Ausschlussgrund nicht enthalten hat. An die Stelle des fünfundsechzigsten Lebensjahres in § 19 Abs. 1 Satz 2 Nr. 2 tritt ein in der bis zum 31. Dezember 1976 geltenden landesrechtlichen Vorschrift vorgesehenes höheres Lebensalter, wenn die Ehe am 1. Januar 1977 bestanden hat.</w:t>
      </w:r>
    </w:p>
    <w:p>
      <w:r>
        <w:t xml:space="preserve">(3) Die Vorschriften über die Kürzung des Witwengeldes bei großem Altersunterschied der Ehegatten (§ 20 Abs. 2) finden keine Anwendung, wenn die Ehe am 1. Januar 1977 bestanden und das bis zu diesem Zeitpunkt für den Beamten oder Ruhestandsbeamten geltende Landesrecht entsprechende Kürzungsvorschriften nicht enthalten hat.</w:t>
      </w:r>
    </w:p>
    <w:p>
      <w:r>
        <w:t xml:space="preserve">(4) Die Vorschrift des § 22 Abs. 2 in der bis zum 31. Juli 1989 geltenden Fassung findet Anwendung, wenn ein Scheidungsverfahren bis zum 31. Juli 1989 rechtshängig geworden ist oder die Parteien bis zum 31. Juli 1989 eine Vereinbarung nach § 1587o des Bürgerlichen Gesetzbuchs in der bis zum 31. August 2009 geltenden Fassung getroffen haben.</w:t>
      </w:r>
    </w:p>
    <w:p>
      <w:r>
        <w:rPr>
          <w:color w:val="555555"/>
          <w:sz w:val="17"/>
        </w:rPr>
        <w:t xml:space="preserve">Zitiervorschlag: § 86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https://recht.nulegal.eu/gesetze/BeamtVG/86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