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85a BeamtVG — Erneute Berufung in das Beamtenverhältnis</w:t>
      </w:r>
    </w:p>
    <w:p>
      <w:r>
        <w:rPr>
          <w:color w:val="555555"/>
          <w:sz w:val="18"/>
        </w:rPr>
        <w:t xml:space="preserve">Beamtenversorgungsgesetz</w:t>
      </w:r>
    </w:p>
    <w:p>
      <w:r>
        <w:rPr>
          <w:color w:val="555555"/>
          <w:sz w:val="18"/>
        </w:rPr>
        <w:t xml:space="preserve">Stand: 10.06.2019 (konsolidierte Textfassung, kein amtliches Inkrafttretensdatum)</w:t>
      </w:r>
    </w:p>
    <w:p>
      <w:r>
        <w:t xml:space="preserve">Bei einem nach § 46 oder § 57 des Bundesbeamtengesetzes erneut in das Beamtenverhältnis berufenen Beamten bleibt der am Tag vor der erneuten Berufung in das Beamtenverhältnis vor Anwendung von Ruhens-, Kürzungs- und Anrechnungsvorschriften zustehende Betrag des Ruhegehalts gewahrt. Tritt der Beamte erneut in den Ruhestand, wird die ruhegehaltfähige Dienstzeit und das Ruhegehalt nach dem im Zeitpunkt der Zurruhesetzung geltenden Recht berechnet. Bei der Anwendung des § 85 Abs. 1 und 3 gilt die Zeit des Ruhestandes nicht als Unterbrechung des Beamtenverhältnisses; die Zeit im Ruhestand ist nicht ruhegehaltfähig. Das höhere Ruhegehalt wird gezahlt.</w:t>
      </w:r>
    </w:p>
    <w:p>
      <w:r>
        <w:rPr>
          <w:color w:val="555555"/>
          <w:sz w:val="17"/>
        </w:rPr>
        <w:t xml:space="preserve">Zitiervorschlag: § 85a BeamtVG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https://recht.nulegal.eu/gesetze/BeamtVG/85a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