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BeamtVG — Allgemeine Anpassung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die Dienstbezüge der Besoldungsberechtigten allgemein erhöht oder vermindert, sind von demselben Zeitpunkt an die Versorgungsbezüge durch Bundesgesetz entsprechend zu regeln.</w:t>
      </w:r>
    </w:p>
    <w:p>
      <w:r>
        <w:t xml:space="preserve">(2) Als allgemeine Änderung der Dienstbezüge im Sinne des Absatzes 1 gelten auch die Neufassung der Grundgehaltstabelle mit unterschiedlicher Änderung der Grundgehaltssätze und die allgemeine Erhöhung oder Verminderung der Dienstbezüge um feste Beträge.</w:t>
      </w:r>
    </w:p>
    <w:p>
      <w:r>
        <w:rPr>
          <w:color w:val="555555"/>
          <w:sz w:val="17"/>
        </w:rPr>
        <w:t xml:space="preserve">Zitiervorschlag: § 70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