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BeamtVG — Beamte auf Zeit</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Für die Versorgung der Beamten auf Zeit und ihrer Hinterbliebenen gelten die Vorschriften für die Versorgung der Beamten auf Lebenszeit und ihrer Hinterbliebenen entsprechend, soweit in diesem Gesetz nichts anderes bestimmt ist.</w:t>
      </w:r>
    </w:p>
    <w:p>
      <w:r>
        <w:t xml:space="preserve">(2) Für Beamte auf Zeit, die eine ruhegehaltfähige Dienstzeit von zehn Jahren zurückgelegt haben, beträgt das Ruhegehalt, wenn es für sie günstiger ist, nach einer Amtszeit von acht Jahren als Beamter auf Zeit 33,48345 Prozent der ruhegehaltfähigen Dienstbezüge und steigt mit jedem weiteren vollen Amtsjahr als Beamter auf Zeit um 1,91333 Prozent der ruhegehaltfähigen Dienstbezüge bis zum Höchstruhegehaltssatz von 71,75 Prozent. Als Amtszeit rechnet hierbei auch die Zeit bis zur Dauer von fünf Jahren, die ein Beamter auf Zeit im einstweiligen Ruhestand zurückgelegt hat. § 14 Abs. 3 findet Anwendung. Die Sätze 1 bis 3 finden auf zu Beamten auf Zeit ernannte Militärgeistliche keine Anwendung.</w:t>
      </w:r>
    </w:p>
    <w:p>
      <w:r>
        <w:t xml:space="preserve">(3) Ein Übergangsgeld nach § 47 wird nicht gewährt, wenn der Beamte auf Zeit einer gesetzlichen Verpflichtung, sein Amt nach Ablauf der Amtszeit unter erneuter Berufung in das Beamtenverhältnis weiterzuführen, nicht nachkommt.</w:t>
      </w:r>
    </w:p>
    <w:p>
      <w:r>
        <w:t xml:space="preserve">(4) Führt der Beamte auf Zeit nach Ablauf seiner Amtszeit sein bisheriges Amt unter erneuter Berufung als Beamter auf Zeit für die folgende Amtszeit weiter, gilt für die Anwendung dieses Gesetzes das Beamtenverhältnis als nicht unterbrochen. Satz 1 gilt entsprechend für Beamte auf Zeit, die aus ihrem bisherigen Amt ohne Unterbrechung in ein vergleichbares oder höherwertiges Amt unter erneuter Berufung als Beamter auf Zeit gewählt werden.</w:t>
      </w:r>
    </w:p>
    <w:p>
      <w:r>
        <w:t xml:space="preserve">(5) Wird ein Beamter auf Zeit wegen Dienstunfähigkeit entlassen, gelten die §§ 15 und 26 entsprechend.</w:t>
      </w:r>
    </w:p>
    <w:p>
      <w:r>
        <w:t xml:space="preserve">(6) bis (9) (weggefallen)</w:t>
      </w:r>
    </w:p>
    <w:p>
      <w:r>
        <w:rPr>
          <w:color w:val="555555"/>
          <w:sz w:val="17"/>
        </w:rPr>
        <w:t xml:space="preserve">Zitiervorschlag: § 66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