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64 BeamtVG — Entzug von Hinterbliebenenversorgung</w:t>
      </w:r>
    </w:p>
    <w:p>
      <w:r>
        <w:rPr>
          <w:color w:val="555555"/>
          <w:sz w:val="18"/>
        </w:rPr>
        <w:t xml:space="preserve">Beamtenversorgungsgesetz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oberste Dienstbehörde kann Empfängern von Hinterbliebenenversorgung die Versorgungsbezüge auf Zeit teilweise oder ganz entziehen, wenn sie sich gegen die freiheitliche demokratische Grundordnung im Sinne des Grundgesetzes betätigt haben; § 41 gilt sinngemäß. Die diese Maßnahme rechtfertigenden Tatsachen sind in einem Untersuchungsverfahren festzustellen, in dem die eidliche Vernehmung von Zeugen und Sachverständigen zulässig und der Versorgungsberechtigte zu hören ist.</w:t>
      </w:r>
    </w:p>
    <w:p>
      <w:r>
        <w:t xml:space="preserve">(2) § 61 Abs. 1 Satz 1 Nr. 4 und Satz 2 bleibt unberührt.</w:t>
      </w:r>
    </w:p>
    <w:p>
      <w:r>
        <w:rPr>
          <w:color w:val="555555"/>
          <w:sz w:val="17"/>
        </w:rPr>
        <w:t xml:space="preserve">Zitiervorschlag: § 64 BeamtVG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https://recht.nulegal.eu/gesetze/BeamtVG/64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