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BeamtVG — Gleichstellungen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Für die Anwendung dieses Abschnitts gelten</w:t>
      </w:r>
    </w:p>
    <w:p>
      <w:pPr>
        <w:ind w:left="420"/>
      </w:pPr>
      <w:r>
        <w:t xml:space="preserve">1. ein Unterhaltsbeitrag nach § 15 als Ruhegehalt,</w:t>
      </w:r>
    </w:p>
    <w:p>
      <w:pPr>
        <w:ind w:left="420"/>
      </w:pPr>
      <w:r>
        <w:t xml:space="preserve">2. ein Unterhaltsbeitrag nach § 38 als Ruhegehalt, außer für die Anwendung des § 59,</w:t>
      </w:r>
    </w:p>
    <w:p>
      <w:pPr>
        <w:ind w:left="420"/>
      </w:pPr>
      <w:r>
        <w:t xml:space="preserve">3. ein Unterhaltsbeitrag nach § 26 als Witwen- oder Waisengeld,</w:t>
      </w:r>
    </w:p>
    <w:p>
      <w:pPr>
        <w:ind w:left="420"/>
      </w:pPr>
      <w:r>
        <w:t xml:space="preserve">4. ein Unterhaltsbeitrag nach den §§ 41 und 61 Abs. 1 Satz 3 als Witwen- oder Waisengeld, außer für die Anwendung des § 61 Abs. 1 Satz 1 Nr. 4 und Satz 2,</w:t>
      </w:r>
    </w:p>
    <w:p>
      <w:pPr>
        <w:ind w:left="420"/>
      </w:pPr>
      <w:r>
        <w:t xml:space="preserve">5. ein Unterhaltsbeitrag nach § 22 Abs. 1 und § 40 als Witwengeld,</w:t>
      </w:r>
    </w:p>
    <w:p>
      <w:pPr>
        <w:ind w:left="420"/>
      </w:pPr>
      <w:r>
        <w:t xml:space="preserve">6. ein Unterhaltsbeitrag nach § 22 Abs. 2 oder 3 als Witwengeld, außer für die Anwendung des § 57,</w:t>
      </w:r>
    </w:p>
    <w:p>
      <w:pPr>
        <w:ind w:left="420"/>
      </w:pPr>
      <w:r>
        <w:t xml:space="preserve">7. ein Unterhaltsbeitrag nach § 23 Abs. 2 als Waisengeld,</w:t>
      </w:r>
    </w:p>
    <w:p>
      <w:pPr>
        <w:ind w:left="420"/>
      </w:pPr>
      <w:r>
        <w:t xml:space="preserve">7a. ein Unterhaltsbeitrag nach § 38a als Waisengeld,</w:t>
      </w:r>
    </w:p>
    <w:p>
      <w:pPr>
        <w:ind w:left="420"/>
      </w:pPr>
      <w:r>
        <w:t xml:space="preserve">8. ein Unterhaltsbeitrag nach § 43 des Bundesbeamtengesetzes, den §§ 59 und 61 Abs. 1 Satz 4 und § 68 als Ruhegehalt, Witwen- oder Waisengeld,</w:t>
      </w:r>
    </w:p>
    <w:p>
      <w:pPr>
        <w:ind w:left="420"/>
      </w:pPr>
      <w:r>
        <w:t xml:space="preserve">9. die Bezüge der nach § 32 des Deutschen Richtergesetzes oder einer entsprechenden gesetzlichen Vorschrift nicht im Amt befindlichen Richter und Mitglieder einer obersten Rechnungsprüfungsbehörde als Ruhegehalt,</w:t>
      </w:r>
    </w:p>
    <w:p>
      <w:pPr>
        <w:ind w:left="420"/>
      </w:pPr>
      <w:r>
        <w:t xml:space="preserve">10. die Bezüge, die nach oder entsprechend § 4 Abs. 1 Satz 1 des Bundesbesoldungsgesetzes gewährt werden, als Ruhegehalt;</w:t>
      </w:r>
    </w:p>
    <w:p>
      <w:r>
        <w:t xml:space="preserve">die Empfänger dieser Versorgungsbezüge gelten als Ruhestandsbeamte, Witwen oder Waisen.</w:t>
      </w:r>
    </w:p>
    <w:p>
      <w:r>
        <w:rPr>
          <w:color w:val="555555"/>
          <w:sz w:val="17"/>
        </w:rPr>
        <w:t xml:space="preserve">Zitiervorschlag: § 63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