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BeamtVG — Erlöschen der Witwen- und Waisenversorgung</w:t>
      </w:r>
    </w:p>
    <w:p>
      <w:r>
        <w:rPr>
          <w:color w:val="555555"/>
          <w:sz w:val="18"/>
        </w:rPr>
        <w:t xml:space="preserve">Beamtenversorgungsgesetz</w:t>
      </w:r>
    </w:p>
    <w:p>
      <w:r>
        <w:rPr>
          <w:color w:val="555555"/>
          <w:sz w:val="18"/>
        </w:rPr>
        <w:t xml:space="preserve">Stand: 01.04.2024 (konsolidierte Textfassung, kein amtliches Inkrafttretensdatum)</w:t>
      </w:r>
    </w:p>
    <w:p>
      <w:r>
        <w:t xml:space="preserve">(1) Der Anspruch der Witwen und Waisen auf Versorgungsbezüge erlischt</w:t>
      </w:r>
    </w:p>
    <w:p>
      <w:pPr>
        <w:ind w:left="420"/>
      </w:pPr>
      <w:r>
        <w:t xml:space="preserve">1. für jeden Berechtigten mit dem Ende des Monats, in dem er stirbt,</w:t>
      </w:r>
    </w:p>
    <w:p>
      <w:pPr>
        <w:ind w:left="420"/>
      </w:pPr>
      <w:r>
        <w:t xml:space="preserve">2. für jede Witwe außerdem mit dem Ende des Monats, in dem sie heiratet,</w:t>
      </w:r>
    </w:p>
    <w:p>
      <w:pPr>
        <w:ind w:left="420"/>
      </w:pPr>
      <w:r>
        <w:t xml:space="preserve">3. für jede Waise außerdem mit dem Ende des Monats, in dem sie das achtzehnte Lebensjahr vollendet,</w:t>
      </w:r>
    </w:p>
    <w:p>
      <w:pPr>
        <w:ind w:left="420"/>
      </w:pPr>
      <w:r>
        <w:t xml:space="preserve">4. für jeden Berechtigten, der durch ein deutsches Gericht im Geltungsbereich dieses Gesetzes im ordentlichen Strafverfahren wegen eines Verbrechens zu Freiheitsstrafe von mindestens zwei Jahren oder wegen einer vorsätzlichen Tat, die nach den Vorschriften über Friedensverrat, Hochverrat, Gefährdung des demokratischen Rechtsstaates, Volksverhetzung oder Landesverrat und Gefährdung der äußeren Sicherheit strafbar ist, zu Freiheitsstrafe von mindestens sechs Monaten verurteilt worden ist, mit der Rechtskraft des Urteils.</w:t>
      </w:r>
    </w:p>
    <w:p>
      <w:r>
        <w:t xml:space="preserve">Entsprechendes gilt, wenn der Berechtigte auf Grund einer Entscheidung des Bundesverfassungsgerichts gemäß Artikel 18 des Grundgesetzes ein Grundrecht verwirkt hat. In den Fällen des Satzes 1 Nr. 4 und des Satzes 2 gilt § 41 sinngemäß. Die §§ 42 und 43 des Bundesbeamtengesetzes finden entsprechende Anwendung.</w:t>
      </w:r>
    </w:p>
    <w:p>
      <w:r>
        <w:t xml:space="preserve">(2) Waisengeld wird nach Vollendung des 18. Lebensjahres auf Antrag gewährt, solange die Waise</w:t>
      </w:r>
    </w:p>
    <w:p>
      <w:pPr>
        <w:ind w:left="420"/>
      </w:pPr>
      <w:r>
        <w:t xml:space="preserve">1. das 27. Lebensjahr noch nicht vollendet hat und</w:t>
      </w:r>
    </w:p>
    <w:p>
      <w:pPr>
        <w:ind w:left="780"/>
      </w:pPr>
      <w:r>
        <w:t xml:space="preserve">a) sich in Schulausbildung oder Berufsausbildung befindet,</w:t>
      </w:r>
    </w:p>
    <w:p>
      <w:pPr>
        <w:ind w:left="780"/>
      </w:pPr>
      <w:r>
        <w:t xml:space="preserve">b) sich in einer Übergangszeit von höchstens vier Kalendermonaten befindet, die zwischen zwei Ausbildungsabschnitten oder zwischen einem Ausbildungsabschnitt und der Ableistung des gesetzlichen Wehr- oder Zivildienstes oder der Ableistung eines freiwilligen Dienstes im Sinne des Buchstaben c liegt, oder</w:t>
      </w:r>
    </w:p>
    <w:p>
      <w:pPr>
        <w:ind w:left="780"/>
      </w:pPr>
      <w:r>
        <w:t xml:space="preserve">c) einen freiwilligen Dienst im Sinne des § 32 Absatz 4 Satz 1 Nummer 2 Buchstabe d des Einkommensteuergesetzes leistet;</w:t>
      </w:r>
    </w:p>
    <w:p>
      <w:pPr>
        <w:ind w:left="420"/>
      </w:pPr>
      <w:r>
        <w:t xml:space="preserve">2. wegen körperlicher, geistiger oder seelischer Behinderung außerstande ist, sich selbst zu unterhalten; Waisengeld wird auch über das 27. Lebensjahr hinaus gewährt, wenn</w:t>
      </w:r>
    </w:p>
    <w:p>
      <w:pPr>
        <w:ind w:left="780"/>
      </w:pPr>
      <w:r>
        <w:t xml:space="preserve">a) die Behinderung vor Vollendung des 27. Lebensjahres eingetreten ist und</w:t>
      </w:r>
    </w:p>
    <w:p>
      <w:pPr>
        <w:ind w:left="780"/>
      </w:pPr>
      <w:r>
        <w:t xml:space="preserve">b) die Waise ledig oder verwitwet ist oder ihr Ehegatte oder früherer Ehegatte ihr keinen ausreichenden Unterhalt leisten kann oder dem Grunde nach nicht unterhaltspflichtig ist und sie auch nicht unterhält.</w:t>
      </w:r>
    </w:p>
    <w:p>
      <w:r>
        <w:t xml:space="preserve">In den Fällen des Satzes 1 Nummer 1 Buchstabe a und b sowie Nummer 2 erhöht sich die jeweilige Altersgrenze für eine Waise, die einen in § 32 Absatz 5 Satz 1 Nummer 1 oder 2 des Einkommensteuergesetzes genannten Dienst oder eine in § 32 Absatz 5 Satz 1 Nummer 3 des Einkommensteuergesetzes genannte Tätigkeit ausgeübt hat, um den Zeitraum, der der Dauer des jeweiligen Dienstes oder der jeweiligen Tätigkeit entspricht. Die Altersgrenze erhöht sich jedoch höchstens um die Dauer des inländischen gesetzlichen Grundwehrdienstes oder bei anerkannten Kriegsdienstverweigerern um die Dauer des inländischen gesetzlichen Zivildienstes. Die Ableistung eines freiwilligen Dienstes im Sinne des Satzes 1 Nummer 1 Buchstabe c ist kein gleichgestellter Dienst im Sinne des Satzes 2. In den Fällen des Satzes 1 Nummer 2 wird Waisengeld ungeachtet der Höhe eines eigenen Einkommens dem Grunde nach gewährt. Soweit ein eigenes Einkommen der Waise jedoch das Zweifache des Mindestvollwaisengeldes nach § 14 Absatz 4 Satz 2 in Verbindung mit § 24 Absatz 1 übersteigt, wird es zur Hälfte auf das Waisengeld zuzüglich des Unterschiedsbetrages nach § 50 Absatz 1 angerechnet.</w:t>
      </w:r>
    </w:p>
    <w:p>
      <w:r>
        <w:t xml:space="preserve">(3) Hat eine Witwe geheiratet und wird die Ehe aufgelöst, so lebt der Anspruch auf Witwengeld wieder auf; ein von der Witwe infolge Auflösung der Ehe erworbener neuer Versorgungs-, Unterhalts- oder Rentenanspruch ist auf das Witwengeld und den Unterschiedsbetrag nach § 50 Abs. 1 anzurechnen. Wird eine in Satz 1 genannte Leistung nicht beantragt oder wird auf sie verzichtet oder wird an ihrer Stelle eine Abfindung, Kapitalleistung oder Beitragserstattung gezahlt, ist der Betrag anzurechnen, der ansonsten zu zahlen wäre. Der Auflösung der Ehe steht die Nichtigerklärung gleich.</w:t>
      </w:r>
    </w:p>
    <w:p>
      <w:r>
        <w:rPr>
          <w:color w:val="555555"/>
          <w:sz w:val="17"/>
        </w:rPr>
        <w:t xml:space="preserve">Zitiervorschlag: § 61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