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BeamtVG — Regelmäßige ruhegehaltfähige Dienstzeit</w:t>
      </w:r>
    </w:p>
    <w:p>
      <w:r>
        <w:rPr>
          <w:color w:val="555555"/>
          <w:sz w:val="18"/>
        </w:rPr>
        <w:t xml:space="preserve">Beamtenversorgungsgesetz</w:t>
      </w:r>
    </w:p>
    <w:p>
      <w:r>
        <w:rPr>
          <w:color w:val="555555"/>
          <w:sz w:val="18"/>
        </w:rPr>
        <w:t xml:space="preserve">Stand: 01.04.2024 (konsolidierte Textfassung, kein amtliches Inkrafttretensdatum)</w:t>
      </w:r>
    </w:p>
    <w:p>
      <w:r>
        <w:t xml:space="preserve">(1) Ruhegehaltfähig ist die Dienstzeit, die der Beamte vom Tage seiner ersten Berufung in das Beamtenverhältnis an im Dienst eines öffentlich-rechtlichen Dienstherrn im Beamtenverhältnis zurückgelegt hat. Dies gilt nicht für die Zeit</w:t>
      </w:r>
    </w:p>
    <w:p>
      <w:pPr>
        <w:ind w:left="420"/>
      </w:pPr>
      <w:r>
        <w:t xml:space="preserve">1. (weggefallen)</w:t>
      </w:r>
    </w:p>
    <w:p>
      <w:pPr>
        <w:ind w:left="420"/>
      </w:pPr>
      <w:r>
        <w:t xml:space="preserve">2. in einem Amt, das die Arbeitskraft des Beamten nur nebenbei beansprucht,</w:t>
      </w:r>
    </w:p>
    <w:p>
      <w:pPr>
        <w:ind w:left="420"/>
      </w:pPr>
      <w:r>
        <w:t xml:space="preserve">3. einer Tätigkeit als Beamter, der ohne Ruhegehaltsberechtigung nur Gebühren bezieht, soweit sie nicht nach § 11 Nr. 1 Buchstabe a berücksichtigt wird,</w:t>
      </w:r>
    </w:p>
    <w:p>
      <w:pPr>
        <w:ind w:left="420"/>
      </w:pPr>
      <w:r>
        <w:t xml:space="preserve">4. einer ehrenamtlichen Tätigkeit,</w:t>
      </w:r>
    </w:p>
    <w:p>
      <w:pPr>
        <w:ind w:left="420"/>
      </w:pPr>
      <w:r>
        <w:t xml:space="preserve">5. einer Beurlaubung ohne Dienstbezüge; Zeiten einer Beurlaubung ohne Dienstbezüge, die keine Zeiten im öffentlichen Dienst einer zwischenstaatlichen oder überstaatlichen Einrichtung sind, können berücksichtigt werden, wenn</w:t>
      </w:r>
    </w:p>
    <w:p>
      <w:pPr>
        <w:ind w:left="780"/>
      </w:pPr>
      <w:r>
        <w:t xml:space="preserve">a) spätestens bei Beendigung des Urlaubs schriftlich oder elektronisch anerkannt worden ist, dass dieser dienstlichen Interessen oder öffentlichen Belangen dient, und</w:t>
      </w:r>
    </w:p>
    <w:p>
      <w:pPr>
        <w:ind w:left="780"/>
      </w:pPr>
      <w:r>
        <w:t xml:space="preserve">b) der Beamte für die Dauer der Beurlaubung einen Versorgungszuschlag zahlt, sofern gesetzlich nichts anderes bestimmt ist; der Versorgungszuschlag beträgt 30 Prozent der ohne Beurlaubung zustehenden ruhegehaltfähigen Dienstbezüge, wobei Leistungsbezüge nach § 5 Absatz 1 Nummer 4 von Anfang an in voller Höhe zu berücksichtigen sind; das Bundesministerium des Innern, für Bau und Heimat kann Ausnahmen zulassen,</w:t>
      </w:r>
    </w:p>
    <w:p>
      <w:pPr>
        <w:ind w:left="420"/>
      </w:pPr>
      <w:r>
        <w:t xml:space="preserve">6. eines schuldhaften Fernbleibens vom Dienst unter Verlust der Dienstbezüge,</w:t>
      </w:r>
    </w:p>
    <w:p>
      <w:pPr>
        <w:ind w:left="420"/>
      </w:pPr>
      <w:r>
        <w:t xml:space="preserve">7. für die eine Abfindung aus öffentlichen Mitteln gewährt ist.</w:t>
      </w:r>
    </w:p>
    <w:p>
      <w:r>
        <w:t xml:space="preserve">Zeiten einer Teilzeitbeschäftigung sind nur zu dem Teil ruhegehaltfähig, der dem Verhältnis der ermäßigten zur regelmäßigen Arbeitszeit entspricht; Zeiten einer Altersteilzeit nach § 93 des Bundesbeamtengesetzes sowie nach entsprechenden Bestimmungen für Richter sind zu neun Zehnteln der Arbeitszeit ruhegehaltfähig, die der Bemessung der ermäßigten Arbeitszeit während der Altersteilzeit zugrunde gelegt worden ist. Zeiten der eingeschränkten Verwendung eines Beamten wegen begrenzter Dienstfähigkeit nach § 45 des Bundesbeamtengesetzes sind nur zu dem Teil ruhegehaltfähig, der dem Verhältnis der ermäßigten zur regelmäßigen Arbeitszeit entspricht, mindestens im Umfang des § 13 Abs. 1 Satz 1.</w:t>
      </w:r>
    </w:p>
    <w:p>
      <w:r>
        <w:t xml:space="preserve">(2) Nicht ruhegehaltfähig sind Dienstzeiten</w:t>
      </w:r>
    </w:p>
    <w:p>
      <w:pPr>
        <w:ind w:left="420"/>
      </w:pPr>
      <w:r>
        <w:t xml:space="preserve">1. in einem Beamtenverhältnis, das durch eine Entscheidung der in § 41 Abs. 1 des Bundesbeamtengesetzes bezeichneten Art oder durch die Entfernung aus dem Beamtenverhältnis nach dem Bundesdisziplinargesetz beendet worden ist,</w:t>
      </w:r>
    </w:p>
    <w:p>
      <w:pPr>
        <w:ind w:left="420"/>
      </w:pPr>
      <w:r>
        <w:t xml:space="preserve">2. in einem Beamtenverhältnis auf Probe oder auf Widerruf, wenn der Beamte entlassen worden ist, weil er eine Handlung begangen hat, die bei einem Beamten auf Lebenszeit mindestens eine Kürzung der Dienstbezüge zur Folge hätte,</w:t>
      </w:r>
    </w:p>
    <w:p>
      <w:pPr>
        <w:ind w:left="420"/>
      </w:pPr>
      <w:r>
        <w:t xml:space="preserve">3. in einem Beamtenverhältnis, das durch Entlassung auf Antrag des Beamten beendet worden ist,</w:t>
      </w:r>
    </w:p>
    <w:p>
      <w:pPr>
        <w:ind w:left="780"/>
      </w:pPr>
      <w:r>
        <w:t xml:space="preserve">a) wenn ihm ein Verfahren mit der Folge des Verlustes der Beamtenrechte oder der Entfernung aus dem Dienst drohte oder</w:t>
      </w:r>
    </w:p>
    <w:p>
      <w:pPr>
        <w:ind w:left="780"/>
      </w:pPr>
      <w:r>
        <w:t xml:space="preserve">b) wenn der Beamte den Antrag gestellt hat, um einer drohenden Entlassung nach Nummer 2 zuvorzukommen.</w:t>
      </w:r>
    </w:p>
    <w:p>
      <w:r>
        <w:t xml:space="preserve">Die oberste Dienstbehörde kann Ausnahmen zulassen.</w:t>
      </w:r>
    </w:p>
    <w:p>
      <w:r>
        <w:t xml:space="preserve">(3) Der im Beamtenverhältnis zurückgelegten Dienstzeit stehen gleich</w:t>
      </w:r>
    </w:p>
    <w:p>
      <w:pPr>
        <w:ind w:left="420"/>
      </w:pPr>
      <w:r>
        <w:t xml:space="preserve">1. die im Richterverhältnis zurückgelegte Dienstzeit,</w:t>
      </w:r>
    </w:p>
    <w:p>
      <w:pPr>
        <w:ind w:left="420"/>
      </w:pPr>
      <w:r>
        <w:t xml:space="preserve">2. die nach dem 8. Mai 1945 zurückgelegte Zeit als Mitglied der Bundesregierung oder einer Landesregierung,</w:t>
      </w:r>
    </w:p>
    <w:p>
      <w:pPr>
        <w:ind w:left="420"/>
      </w:pPr>
      <w:r>
        <w:t xml:space="preserve">3. die Zeit der Bekleidung des Amtes eines Parlamentarischen Staatssekretärs bei einem Mitglied der Bundesregierung nach dem 14. Dezember 1972 oder bei einem Mitglied einer Landesregierung, soweit entsprechende Voraussetzungen vorliegen.</w:t>
      </w:r>
    </w:p>
    <w:p>
      <w:r>
        <w:rPr>
          <w:color w:val="555555"/>
          <w:sz w:val="17"/>
        </w:rPr>
        <w:t xml:space="preserve">Zitiervorschlag: § 6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