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BeamtVG — Unfall-Hinterbliebenenversorgung</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Ist ein Beamter, der Unfallruhegehalt erhalten hätte, oder ein Ruhestandsbeamter, der Unfallruhegehalt bezog, an den Folgen des Dienstunfalles verstorben, so erhalten seine Hinterbliebenen Unfall-Hinterbliebenenversorgung. Für diese gelten folgende besondere Vorschriften:</w:t>
      </w:r>
    </w:p>
    <w:p>
      <w:pPr>
        <w:ind w:left="420"/>
      </w:pPr>
      <w:r>
        <w:t xml:space="preserve">1. Das Witwengeld beträgt sechzig Prozent des Unfallruhegehaltes (§§ 36, 37).</w:t>
      </w:r>
    </w:p>
    <w:p>
      <w:pPr>
        <w:ind w:left="420"/>
      </w:pPr>
      <w:r>
        <w:t xml:space="preserve">2. Das Waisengeld beträgt für jedes waisengeldberechtigte Kind (§ 23) dreißig Prozent des Unfallruhegehalts. Es wird auch elternlosen Enkeln gewährt, deren Unterhalt zur Zeit des Dienstunfalles ganz oder überwiegend durch den Verstorbenen bestritten wurde.</w:t>
      </w:r>
    </w:p>
    <w:p>
      <w:r>
        <w:t xml:space="preserve">(2) Ist ein Ruhestandsbeamter, der Unfallruhegehalt bezog, nicht an den Folgen des Dienstunfalles verstorben, so steht den Hinterbliebenen nur Versorgung nach Abschnitt 3 zu; diese Bezüge sind aber unter Zugrundelegung des Unfallruhegehalts zu berechnen.</w:t>
      </w:r>
    </w:p>
    <w:p>
      <w:r>
        <w:rPr>
          <w:color w:val="555555"/>
          <w:sz w:val="17"/>
        </w:rPr>
        <w:t xml:space="preserve">Zitiervorschlag: § 39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