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38a BeamtVG — Unterhaltsbeitrag bei Schädigung eines ungeborenen Kindes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Der Unterhaltsbeitrag wird im Fall des § 30 Abs. 1 Satz 2 und 3 für die Dauer der durch einen Dienstunfall der Mutter verursachten Minderung der Erwerbsfähigkeit gewährt</w:t>
      </w:r>
    </w:p>
    <w:p>
      <w:pPr>
        <w:ind w:left="420"/>
      </w:pPr>
      <w:r>
        <w:t xml:space="preserve">1. bei Verlust der Erwerbsfähigkeit in Höhe des Mindestunfallwaisengeldes nach § 39 Abs. 1 Nr. 2 in Verbindung mit § 36 Abs. 3 Satz 3,</w:t>
      </w:r>
    </w:p>
    <w:p>
      <w:pPr>
        <w:ind w:left="420"/>
      </w:pPr>
      <w:r>
        <w:t xml:space="preserve">2. bei Minderung der Erwerbsfähigkeit um mindestens 30 Prozent in Höhe eines der Minderung der Erwerbsfähigkeit entsprechenden Teils des Unterhaltsbeitrages nach Nummer 1.</w:t>
      </w:r>
    </w:p>
    <w:p>
      <w:r>
        <w:t xml:space="preserve">(2) § 38 Abs. 6 gilt entsprechend. Bei Minderjährigen wird die Minderung der Erwerbsfähigkeit nach den Auswirkungen bemessen, die sich bei Erwachsenen mit gleichem Gesundheitsschaden ergeben würden. Die Sorgeberechtigten sind verpflichtet, Untersuchungen zu ermöglichen.</w:t>
      </w:r>
    </w:p>
    <w:p>
      <w:r>
        <w:t xml:space="preserve">(3) Der Unterhaltsbeitrag beträgt vor Vollendung des 14. Lebensjahres 30 Prozent, vor Vollendung des 18. Lebensjahres 50 Prozent der Sätze nach Absatz 1.</w:t>
      </w:r>
    </w:p>
    <w:p>
      <w:r>
        <w:t xml:space="preserve">(4) Der Anspruch auf Unterhaltsbeitrag ruht insoweit, als während einer Heimpflege von mehr als einem Kalendermonat Pflegekosten gemäß § 34 erstattet werden.</w:t>
      </w:r>
    </w:p>
    <w:p>
      <w:r>
        <w:t xml:space="preserve">(5) Hat ein Unterhaltsbeitragsberechtigter Anspruch auf Waisengeld nach diesem Gesetz, wird nur der höhere Versorgungsbezug gezahlt.</w:t>
      </w:r>
    </w:p>
    <w:p>
      <w:r>
        <w:rPr>
          <w:color w:val="555555"/>
          <w:sz w:val="17"/>
        </w:rPr>
        <w:t xml:space="preserve">Zitiervorschlag: § 38a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https://recht.nulegal.eu/gesetze/BeamtVG/38a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