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BeamtVG — Heilverfahren</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Das Heilverfahren umfasst</w:t>
      </w:r>
    </w:p>
    <w:p>
      <w:pPr>
        <w:ind w:left="420"/>
      </w:pPr>
      <w:r>
        <w:t xml:space="preserve">1. die notwendigen ärztlichen, zahnärztlichen und psychotherapeutischen Maßnahmen,</w:t>
      </w:r>
    </w:p>
    <w:p>
      <w:pPr>
        <w:ind w:left="420"/>
      </w:pPr>
      <w:r>
        <w:t xml:space="preserve">2. die notwendige Versorgung mit Arznei-, Verband-, Heil- und Hilfsmitteln, mit Geräten zur Selbstbehandlung und zur Selbstkontrolle sowie mit Körperersatzstücken, die den Erfolg der Heilbehandlung sichern oder die Unfallfolgen erleichtern sollen,</w:t>
      </w:r>
    </w:p>
    <w:p>
      <w:pPr>
        <w:ind w:left="420"/>
      </w:pPr>
      <w:r>
        <w:t xml:space="preserve">3. die notwendigen Krankenhausleistungen,</w:t>
      </w:r>
    </w:p>
    <w:p>
      <w:pPr>
        <w:ind w:left="420"/>
      </w:pPr>
      <w:r>
        <w:t xml:space="preserve">4. die notwendigen Rehabilitationsmaßnahmen,</w:t>
      </w:r>
    </w:p>
    <w:p>
      <w:pPr>
        <w:ind w:left="420"/>
      </w:pPr>
      <w:r>
        <w:t xml:space="preserve">5. die notwendige Pflege (§ 34),</w:t>
      </w:r>
    </w:p>
    <w:p>
      <w:pPr>
        <w:ind w:left="420"/>
      </w:pPr>
      <w:r>
        <w:t xml:space="preserve">6. die notwendige Haushaltshilfe und</w:t>
      </w:r>
    </w:p>
    <w:p>
      <w:pPr>
        <w:ind w:left="420"/>
      </w:pPr>
      <w:r>
        <w:t xml:space="preserve">7. die notwendigen Fahrten.</w:t>
      </w:r>
    </w:p>
    <w:p>
      <w:r>
        <w:t xml:space="preserve">(2) Der Verletzte ist verpflichtet, sich einer Krankenhausbehandlung zu unterziehen, wenn sie nach einer Stellungnahme eines durch die Dienstbehörde bestimmten Arztes zur Sicherung des Heilerfolges notwendig ist.</w:t>
      </w:r>
    </w:p>
    <w:p>
      <w:r>
        <w:t xml:space="preserve">(3) Der Verletzte ist verpflichtet, sich einer ärztlichen Untersuchung und Behandlung zu unterziehen, es sei denn, dass sie mit einer erheblichen Gefahr für Leben oder Gesundheit des Verletzten verbunden ist. Das Gleiche gilt für eine Operation dann, wenn sie keinen erheblichen Eingriff in die körperliche Unversehrtheit bedeutet. Die oberste Dienstbehörde oder die von ihr bestimmte Stelle kann bestimmen, welcher Arzt die Untersuchung oder Behandlung nach Satz 1 durchführt.</w:t>
      </w:r>
    </w:p>
    <w:p>
      <w:r>
        <w:t xml:space="preserve">(4) Verursachen die Folgen des Dienstunfalles außergewöhnliche Kosten für Kleider- und Wäscheverschleiß, so sind diese in angemessenem Umfang zu ersetzen. Kraftfahrzeughilfe wird gewährt, wenn die verletzte Person infolge des Dienstunfalls nicht nur vorübergehend auf die Benutzung eines Kraftfahrzeugs angewiesen ist. Notwendige Aufwendungen für eine bedarfsgerechte Anpassung des Wohnumfelds werden erstattet, wenn infolge des Dienstunfalls nicht nur vorübergehend die Anpassung vorhandenen oder die Beschaffung bedarfsgerechten Wohnraums erforderlich ist. Ist der Verletzte an den Folgen des Dienstunfalles verstorben, so können auch die Kosten für die Überführung und die Bestattung in angemessener Höhe erstattet werden.</w:t>
      </w:r>
    </w:p>
    <w:p>
      <w:r>
        <w:t xml:space="preserve">(5) Die Durchführung regelt das Bundesministerium des Innern, für Bau und Heimat im Einvernehmen mit dem Bundesministerium der Finanzen durch Rechtsverordnung.</w:t>
      </w:r>
    </w:p>
    <w:p>
      <w:r>
        <w:rPr>
          <w:color w:val="555555"/>
          <w:sz w:val="17"/>
        </w:rPr>
        <w:t xml:space="preserve">Zitiervorschlag: § 33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