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BeamtVG — Erstattung von Sachschäden und besonderen Aufwendungen</w:t>
      </w:r>
    </w:p>
    <w:p>
      <w:r>
        <w:rPr>
          <w:color w:val="555555"/>
          <w:sz w:val="18"/>
        </w:rPr>
        <w:t xml:space="preserve">Beamtenversorgungsgesetz</w:t>
      </w:r>
    </w:p>
    <w:p>
      <w:r>
        <w:rPr>
          <w:color w:val="555555"/>
          <w:sz w:val="18"/>
        </w:rPr>
        <w:t xml:space="preserve">Stand: 10.01.2020 (konsolidierte Textfassung, kein amtliches Inkrafttretensdatum)</w:t>
      </w:r>
    </w:p>
    <w:p>
      <w:r>
        <w:t xml:space="preserve">Sind bei einem Dienstunfall Kleidungsstücke oder sonstige Gegenstände, die der Beamte zur Dienstausübung oder während der Dienstzeit benötigt und deshalb mit sich geführt hat, beschädigt oder zerstört worden oder abhanden gekommen, so kann dafür Ersatz geleistet werden. Anträge auf Gewährung von Sachschadenersatz nach Satz 1 sind innerhalb einer Ausschlussfrist von drei Monaten zu stellen. Sind durch eine Erste-Hilfe-Leistung nach dem Unfall besondere Kosten entstanden, so ist dem Beamten der nachweisbar notwendige Aufwand zu ersetzen.</w:t>
      </w:r>
    </w:p>
    <w:p>
      <w:r>
        <w:rPr>
          <w:color w:val="555555"/>
          <w:sz w:val="17"/>
        </w:rPr>
        <w:t xml:space="preserve">Zitiervorschlag: § 32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