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BeamtVG — Witwerversorgung</w:t>
      </w:r>
    </w:p>
    <w:p>
      <w:r>
        <w:rPr>
          <w:color w:val="555555"/>
          <w:sz w:val="18"/>
        </w:rPr>
        <w:t xml:space="preserve">Beamtenversorgungsgesetz</w:t>
      </w:r>
    </w:p>
    <w:p>
      <w:r>
        <w:rPr>
          <w:color w:val="555555"/>
          <w:sz w:val="18"/>
        </w:rPr>
        <w:t xml:space="preserve">Stand: 10.06.2019 (konsolidierte Textfassung, kein amtliches Inkrafttretensdatum)</w:t>
      </w:r>
    </w:p>
    <w:p>
      <w:r>
        <w:t xml:space="preserve">Die §§ 19 bis 27 gelten entsprechend für den Witwer oder den geschiedenen Ehemann (§ 22 Abs. 2, 3) einer verstorbenen Beamtin oder Ruhestandsbeamtin. An die Stelle des Witwengeldes im Sinne der Vorschriften dieses Gesetzes tritt das Witwergeld, an die Stelle der Witwe der Witwer.</w:t>
      </w:r>
    </w:p>
    <w:p>
      <w:r>
        <w:rPr>
          <w:color w:val="555555"/>
          <w:sz w:val="17"/>
        </w:rPr>
        <w:t xml:space="preserve">Zitiervorschlag: § 28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