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BeamtVG — Beginn der Zahlungen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Zahlung des Witwen- und Waisengeldes sowie eines Unterhaltsbeitrages nach § 22 Abs. 1 oder § 23 Abs. 2 beginnt mit dem Ablauf des Sterbemonats. Kinder, die nach diesem Zeitpunkt geboren werden, erhalten Waisengeld vom Ersten des Geburtsmonats an.</w:t>
      </w:r>
    </w:p>
    <w:p>
      <w:r>
        <w:t xml:space="preserve">(2) Die Zahlung eines Unterhaltsbeitrages nach § 22 Abs. 2 oder 3 beginnt mit dem Ersten des Monats, in dem eine der in § 22 Abs. 2 Satz 2 genannten Voraussetzungen eintritt, frühestens jedoch mit Ablauf des Sterbemonats.</w:t>
      </w:r>
    </w:p>
    <w:p>
      <w:r>
        <w:t xml:space="preserve">(3) Die Absätze 1 und 2 gelten entsprechend für die Zahlung eines Unterhaltsbeitrages nach § 26.</w:t>
      </w:r>
    </w:p>
    <w:p>
      <w:r>
        <w:rPr>
          <w:color w:val="555555"/>
          <w:sz w:val="17"/>
        </w:rPr>
        <w:t xml:space="preserve">Zitiervorschlag: § 27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