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107d BeamtVG — Befristete Ausnahme für Verwendungseinkommen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Ruhestandsbeamte, die ein Verwendungseinkommen aus einer Beschäftigung erzielen, die unmittelbar oder mittelbar</w:t>
      </w:r>
    </w:p>
    <w:p>
      <w:pPr>
        <w:ind w:left="420"/>
      </w:pPr>
      <w:r>
        <w:t xml:space="preserve">1. im Zusammenhang steht mit der Aufnahme, Betreuung oder Rückführung von Flüchtlingen und ihren Angehörigen oder</w:t>
      </w:r>
    </w:p>
    <w:p>
      <w:pPr>
        <w:ind w:left="420"/>
      </w:pPr>
      <w:r>
        <w:t xml:space="preserve">2. der Durchführung von migrationsspezifischen Sicherheitsaufgaben im Ausland dient,</w:t>
      </w:r>
    </w:p>
    <w:p>
      <w:r>
        <w:t xml:space="preserve">beträgt die Höchstgrenze nach § 53 Absatz 2 Nummer 1 erste Alternative bis zum 31. Dezember 2023 120 Prozent der ruhegehaltfähigen Dienstbezüge aus der Endstufe der Besoldungsgruppe, aus der sich das Ruhegehalt berechnet, zuzüglich des jeweils zustehenden Unterschiedsbetrages nach § 50 Absatz 1. Satz 1 gilt für Beamte, die wegen Dienstunfähigkeit oder nach § 52 des Bundesbeamtengesetzes in den Ruhestand versetzt worden sind, erst nach Ablauf des Monats, in dem sie die Regelaltersgrenze nach § 51 Absatz 1 und 2 des Bundesbeamtengesetzes erreicht haben.</w:t>
      </w:r>
    </w:p>
    <w:p>
      <w:r>
        <w:rPr>
          <w:color w:val="555555"/>
          <w:sz w:val="17"/>
        </w:rPr>
        <w:t xml:space="preserve">Zitiervorschlag: § 107d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https://recht.nulegal.eu/gesetze/BeamtVG/107d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