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107c BeamtVG — Verteilung der Versorgungslasten bei erneuter Berufung in ein öffentlich-rechtliches Dienstverhältnis in dem in Artikel 3 des Einigungsvertrages genannten Gebiet</w:t>
      </w:r>
    </w:p>
    <w:p>
      <w:r>
        <w:rPr>
          <w:color w:val="555555"/>
          <w:sz w:val="18"/>
        </w:rPr>
        <w:t xml:space="preserve">Beamtenversorgungsgesetz</w:t>
      </w:r>
    </w:p>
    <w:p>
      <w:r>
        <w:rPr>
          <w:color w:val="555555"/>
          <w:sz w:val="18"/>
        </w:rPr>
        <w:t xml:space="preserve">Stand: 10.06.2019 (konsolidierte Textfassung, kein amtliches Inkrafttretensdatum)</w:t>
      </w:r>
    </w:p>
    <w:p>
      <w:r>
        <w:t xml:space="preserve">Erwirbt ein Ruhestandsbeamter oder Richter im Ruhestand eines Dienstherrn im Gebiet der Bundesrepublik Deutschland nach dem Stand vom 2. Oktober 1990 auf Grund einer zwischen dem 3. Oktober 1990 und dem 31. Dezember 1999 erfolgten Berufung in ein öffentlich-rechtliches Dienstverhältnis bei einem Dienstherrn in dem in Artikel 3 des Einigungsvertrages genannten Gebiet gegen diesen einen weiteren Versorgungsanspruch, so erstattet der frühere Dienstherr dem neuen Dienstherrn die Versorgungsbezüge in dem Umfang, in dem die beim früheren Dienstherrn entstandenen Versorgungsansprüche infolge der Ruhensvorschrift des § 54 nicht zur Auszahlung gelangen, sofern der Ruhestandsbeamte oder Richter im Ruhestand im Zeitpunkt der Berufung in das neue öffentlich-rechtliche Dienstverhältnis das fünfzigste Lebensjahr vollendet hatte.</w:t>
      </w:r>
    </w:p>
    <w:p>
      <w:r>
        <w:rPr>
          <w:color w:val="555555"/>
          <w:sz w:val="17"/>
        </w:rPr>
        <w:t xml:space="preserve">Zitiervorschlag: § 107c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https://recht.nulegal.eu/gesetze/BeamtVG/107c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