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BeamtVG — Ermächtigung zum Erlass von Rechtsverordnungen und Verwaltungsvorschriften</w:t>
      </w:r>
    </w:p>
    <w:p>
      <w:r>
        <w:rPr>
          <w:color w:val="555555"/>
          <w:sz w:val="18"/>
        </w:rPr>
        <w:t xml:space="preserve">Beamtenversorgungsgesetz</w:t>
      </w:r>
    </w:p>
    <w:p>
      <w:r>
        <w:rPr>
          <w:color w:val="555555"/>
          <w:sz w:val="18"/>
        </w:rPr>
        <w:t xml:space="preserve">Stand: 10.01.2020 (konsolidierte Textfassung, kein amtliches Inkrafttretensdatum)</w:t>
      </w:r>
    </w:p>
    <w:p>
      <w:r>
        <w:t xml:space="preserve">Rechtsverordnungen nach diesem Gesetz bedürfen nicht der Zustimmung des Bundesrates. Die zur Durchführung dieses Gesetzes erforderlichen allgemeinen Verwaltungsvorschriften erlässt das Bundesministerium des Innern, für Bau und Heimat im Einvernehmen mit dem Bundesministerium der Finanzen.</w:t>
      </w:r>
    </w:p>
    <w:p>
      <w:r>
        <w:rPr>
          <w:color w:val="555555"/>
          <w:sz w:val="17"/>
        </w:rPr>
        <w:t xml:space="preserve">Zitiervorschlag: § 107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https://recht.nulegal.eu/gesetze/BeamtVG/107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