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BeamtVG — Geltungsbereich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Versorgung der Beamten des Bundes.</w:t>
      </w:r>
    </w:p>
    <w:p>
      <w:r>
        <w:t xml:space="preserve">(2) Dieses Gesetz gilt nach Maßgabe des Deutschen Richtergesetzes entsprechend für die Versorgung der Richter des Bundes.</w:t>
      </w:r>
    </w:p>
    <w:p>
      <w:r>
        <w:t xml:space="preserve">(3) Dieses Gesetz gilt nicht für die öffentlich-rechtlichen Religionsgesellschaften und ihre Verbände.</w:t>
      </w:r>
    </w:p>
    <w:p>
      <w:r>
        <w:rPr>
          <w:color w:val="555555"/>
          <w:sz w:val="17"/>
        </w:rPr>
        <w:t xml:space="preserve">Zitiervorschlag: § 1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