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BeamtVAltGZustAnO — Sachliche Zuständigkeit für die Festsetzung von Leistungen nach dem Altersgeldgesetz und des aus Artikel 45 AEUV abgeleiteten Nachteilsausgleichs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Zuständig für die Festsetzung</w:t>
      </w:r>
    </w:p>
    <w:p>
      <w:pPr>
        <w:ind w:left="420"/>
      </w:pPr>
      <w:r>
        <w:t xml:space="preserve">1. der altersgeldfähigen Dienstbezüge und der altersgeldfähigen Dienstzeit nach § 10 Absatz 1 und 5 des Altersgeldgesetzes in Verbindung mit § 49 Absatz 1 Satz 1 des Beamtenversorgungsgesetzes oder nach § 2 Absatz 3 Satz 1 und § 10 Absatz 1 und 5 des Altersgeldgesetzes in Verbindung mit § 63 Absatz 1 Satz 1 des Soldatenversorgungsgesetzes,</w:t>
      </w:r>
    </w:p>
    <w:p>
      <w:pPr>
        <w:ind w:left="420"/>
      </w:pPr>
      <w:r>
        <w:t xml:space="preserve">2. der Leistungen nach dem Altersgeldgesetz nach § 10 Absatz 5 des Altersgeldgesetzes in Verbindung mit § 49 Absatz 1 Satz 1 des Beamtenversorgungsgesetzes oder nach § 2 Absatz 3 Satz 1 und § 10 Absatz 5 des Altersgeldgesetzes in Verbindung mit § 63 Absatz 1 Satz 1 des Soldatenversorgungsgesetzes sowie</w:t>
      </w:r>
    </w:p>
    <w:p>
      <w:pPr>
        <w:ind w:left="420"/>
      </w:pPr>
      <w:r>
        <w:t xml:space="preserve">3. des aus Artikel 45 des Vertrages über die Arbeitsweise der Europäischen Union abgeleiteten Nachteilsausgleichs</w:t>
      </w:r>
    </w:p>
    <w:p>
      <w:r>
        <w:t xml:space="preserve">ist die Generalzolldirektion, soweit sich aus den Absätzen 2 und 3 nichts Abweichendes ergibt.</w:t>
      </w:r>
    </w:p>
    <w:p>
      <w:r>
        <w:t xml:space="preserve">(2) Die Festsetzung nach Absatz 1 Nummer 1 und die erste Festsetzung nach Absatz 1 Nummer 2 für Altersgeldberechtigte nach § 2 Absatz 3 Satz 1 ist folgenden obersten Dienstbehörden oder den von ihnen bestimmten Stellen mit den jeweils genannten Maßgaben vorbehalten:</w:t>
      </w:r>
    </w:p>
    <w:p>
      <w:pPr>
        <w:ind w:left="420"/>
      </w:pPr>
      <w:r>
        <w:t xml:space="preserve">1. dem Bundeskanzleramt, soweit es sich um Altersgeldberechtigte aus dem Bundesnachrichtendienst handelt,</w:t>
      </w:r>
    </w:p>
    <w:p>
      <w:pPr>
        <w:ind w:left="420"/>
      </w:pPr>
      <w:r>
        <w:t xml:space="preserve">2. dem Bundesministerium für Wirtschaft und Energie, soweit es sich um Altersgeldberechtigte des Ministeriums handelt,</w:t>
      </w:r>
    </w:p>
    <w:p>
      <w:pPr>
        <w:ind w:left="420"/>
      </w:pPr>
      <w:r>
        <w:t xml:space="preserve">3. dem Bundesministerium für Forschung, Technologie und Raumfahrt soweit es sich um Altersgeldberechtigte des Ministeriums handelt sowie</w:t>
      </w:r>
    </w:p>
    <w:p>
      <w:pPr>
        <w:ind w:left="420"/>
      </w:pPr>
      <w:r>
        <w:t xml:space="preserve">4. dem Bundesrechnungshof.</w:t>
      </w:r>
    </w:p>
    <w:p>
      <w:r>
        <w:t xml:space="preserve">Sofern Altersgeldberechtigte nach § 2 Absatz 3 Satz 1 während des Ruhens des Altersgeldes nach § 3 Absatz 3 des Altersgeldgesetzes versterben, umfasst die Zuständigkeit nach Satz 1 auch die erste Festsetzung nach Absatz 1 Nummer 2 für Altersgeldberechtigte nach § 2 Absatz 3 Satz 2. Satz 1 und 2 gelten für die Festsetzung des aus Artikel 45 des Vertrages über die Arbeitsweise der Europäischen Union abgeleiteten Nachteilsausgleichs entsprechend.</w:t>
      </w:r>
    </w:p>
    <w:p>
      <w:r>
        <w:t xml:space="preserve">(3) Dem Bundesministerium der Verteidigung ist die Feststellung der altersgeldfähigen Dienstzeit vorbehalten, wenn</w:t>
      </w:r>
    </w:p>
    <w:p>
      <w:pPr>
        <w:ind w:left="420"/>
      </w:pPr>
      <w:r>
        <w:t xml:space="preserve">1. sich die nach § 5 des Altersgeldgesetzes der Berechnung der Leistungen nach dem Altersgeldgesetz zugrundeliegenden altersgeldfähigen Dienstbezüge mindestens nach der Besoldungsgruppe B 6 bestimmen oder</w:t>
      </w:r>
    </w:p>
    <w:p>
      <w:pPr>
        <w:ind w:left="420"/>
      </w:pPr>
      <w:r>
        <w:t xml:space="preserve">2. Altersgeldberechtigte nach § 2 Absatz 3 Satz 1 zuletzt dem Amt für Militärkunde oder dem Bundesamt für den Militärischen Abschirmdienst angehört haben.</w:t>
      </w:r>
    </w:p>
    <w:p>
      <w:r>
        <w:rPr>
          <w:color w:val="555555"/>
          <w:sz w:val="17"/>
        </w:rPr>
        <w:t xml:space="preserve">Zitiervorschlag: § 4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