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BeamtVAltGZustAnO — Inkrafttreten, Außerkrafttreten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Diese Anordnung tritt mit Wirkung vom 1. Juni 2025 in Kraft.</w:t>
      </w:r>
    </w:p>
    <w:p>
      <w:r>
        <w:t xml:space="preserve">(2) Gleichzeitig treten die Beamtenversorgungszuständigkeitsanordnung vom 15. Dezember 2015 (BGBl. I S. 2358), die durch Artikel 1 der Anordnung vom 25. Oktober 2016 (BGBl. I S. 2522) geändert worden ist, und die Altersgeldzuständigkeitsanordnung vom 9. April 2018 (BGBl. I S. 462), die durch Artikel 67 des Gesetzes vom 20. August 2021 (BGBl. I S. 3932) geändert worden ist, außer Kraft.</w:t>
      </w:r>
    </w:p>
    <w:p>
      <w:r>
        <w:t xml:space="preserve">(3) Des Weiteren tritt § 3 Absatz 2 Nummer 8 mit Ablauf des Monats Dezember 2025 außer Kraft.</w:t>
      </w:r>
    </w:p>
    <w:p>
      <w:r>
        <w:rPr>
          <w:color w:val="555555"/>
          <w:sz w:val="17"/>
        </w:rPr>
        <w:t xml:space="preserve">Zitiervorschlag: § 19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