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BeamtVAltGZustAnO — Schriftverkehr</w:t>
      </w:r>
    </w:p>
    <w:p>
      <w:r>
        <w:rPr>
          <w:color w:val="555555"/>
          <w:sz w:val="18"/>
        </w:rPr>
        <w:t xml:space="preserve">Beamtenversorgungs- und Altersgeldzuständigkeitsanordnung</w:t>
      </w:r>
    </w:p>
    <w:p>
      <w:r>
        <w:rPr>
          <w:color w:val="555555"/>
          <w:sz w:val="18"/>
        </w:rPr>
        <w:t xml:space="preserve">Stand: 21.06.2025 (konsolidierte Textfassung, kein amtliches Inkrafttretensdatum)</w:t>
      </w:r>
    </w:p>
    <w:p>
      <w:r>
        <w:t xml:space="preserve">Die Generalzolldirektion führt den erforderlichen Schriftverkehr mit den zuständigen Stellen unmittelbar. In Fällen des § 17 Absatz 2 ist das Bundesministerium der Finanzen nachrichtlich zu beteiligen. In Fällen des § 9 Absatz 2 unterrichtet das Bundesministerium der Finanzen die von der Zustimmung betroffene oberste Dienstbehörde.</w:t>
      </w:r>
    </w:p>
    <w:p>
      <w:r>
        <w:rPr>
          <w:color w:val="555555"/>
          <w:sz w:val="17"/>
        </w:rPr>
        <w:t xml:space="preserve">Zitiervorschlag: § 18 BeamtVAltGZustAnO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https://recht.nulegal.eu/gesetze/BeamtVAltGZustAnO/18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