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16 BeamtVAltGZustAnO — Übersendung erforderlicher Unterlagen</w:t>
      </w:r>
    </w:p>
    <w:p>
      <w:r>
        <w:rPr>
          <w:color w:val="555555"/>
          <w:sz w:val="18"/>
        </w:rPr>
        <w:t xml:space="preserve">Beamtenversorgungs- und Altersgeldzuständigkeitsanordnung</w:t>
      </w:r>
    </w:p>
    <w:p>
      <w:r>
        <w:rPr>
          <w:color w:val="555555"/>
          <w:sz w:val="18"/>
        </w:rPr>
        <w:t xml:space="preserve">Stand: 21.06.2025 (konsolidierte Textfassung, kein amtliches Inkrafttretensdatum)</w:t>
      </w:r>
    </w:p>
    <w:p>
      <w:r>
        <w:t xml:space="preserve">(1) Für die Wahrnehmung der Aufgaben nach dieser Anordnung übersendet die oberste Dienstbehörde oder die von ihr bestimmte Stelle der Generalzolldirektion</w:t>
      </w:r>
    </w:p>
    <w:p>
      <w:pPr>
        <w:ind w:left="420"/>
      </w:pPr>
      <w:r>
        <w:t xml:space="preserve">1. den Bescheid über die Festsetzung der Versorgungsbezüge, sofern sich die oberste Dienstbehörde die erste Festsetzung der Versorgungsbezüge vorbehalten hat,</w:t>
      </w:r>
    </w:p>
    <w:p>
      <w:pPr>
        <w:ind w:left="420"/>
      </w:pPr>
      <w:r>
        <w:t xml:space="preserve">2. im Übrigen die erforderlichen Personalaktendaten, zumindest aber die Personalunterlagen, die für die Rechnungsprüfung erforderlich sind und</w:t>
      </w:r>
    </w:p>
    <w:p>
      <w:pPr>
        <w:ind w:left="420"/>
      </w:pPr>
      <w:r>
        <w:t xml:space="preserve">3. in Unfallfürsorgeangelegenheiten alle dienstunfallrechtlich relevanten Unterlagen, insbesondere Unterlagen der Unfalluntersuchung einschließlich medizinischer Unterlagen und Abrechnungsunterlagen über die Heilbehandlungskosten.</w:t>
      </w:r>
    </w:p>
    <w:p>
      <w:r>
        <w:t xml:space="preserve">(2) Ist für die Geltendmachung von übergegangenen Schadensersatzansprüchen nach § 76 des Bundesbeamtengesetzes aus Dienstunfällen die Generalzolldirektion zuständig, so übersendet die oberste Dienstbehörde der Generalzolldirektion eine Kopie der Akte über die Bearbeitung des Schadensersatzanspruchs, sofern eine solche Akte vorhanden ist.</w:t>
      </w:r>
    </w:p>
    <w:p>
      <w:r>
        <w:t xml:space="preserve">(3) Die in den Absätzen 1 und 2 genannten Unterlagen werden in Papierform oder elektronisch übersandt.</w:t>
      </w:r>
    </w:p>
    <w:p>
      <w:r>
        <w:t xml:space="preserve">(4) Die Absätze 1 und 3 gelten entsprechend, wenn es sich um eine Festsetzung der altersgeldfähigen Dienstzeit und der altersgeldfähigen Dienstbezüge oder die erste Festsetzung von Leistungen nach dem Altersgeldgesetz handelt.</w:t>
      </w:r>
    </w:p>
    <w:p>
      <w:r>
        <w:rPr>
          <w:color w:val="555555"/>
          <w:sz w:val="17"/>
        </w:rPr>
        <w:t xml:space="preserve">Zitiervorschlag: § 16 BeamtVAltGZustAnO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https://recht.nulegal.eu/gesetze/BeamtVAltGZustAnO/16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