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 BeamtVAltGZustAnO — Sachliche Zuständigkeit betreffend den Versorgungsausgleich und für die Durchführung des Bundesversorgungsteilungsgesetzes</w:t>
      </w:r>
    </w:p>
    <w:p>
      <w:r>
        <w:rPr>
          <w:color w:val="555555"/>
          <w:sz w:val="18"/>
        </w:rPr>
        <w:t xml:space="preserve">Beamtenversorgungs- und Altersgeldzuständigkeitsanordnung</w:t>
      </w:r>
    </w:p>
    <w:p>
      <w:r>
        <w:rPr>
          <w:color w:val="555555"/>
          <w:sz w:val="18"/>
        </w:rPr>
        <w:t xml:space="preserve">Stand: 21.06.2025 (konsolidierte Textfassung, kein amtliches Inkrafttretensdatum)</w:t>
      </w:r>
    </w:p>
    <w:p>
      <w:r>
        <w:t xml:space="preserve">(1) Zuständig beim Versorgungsausgleich und bei der Durchführung des Bundesversorgungsteilungsgesetzes ist, soweit sich aus dem Nachstehenden nichts Abweichendes ergibt, die Generalzolldirektion für</w:t>
      </w:r>
    </w:p>
    <w:p>
      <w:pPr>
        <w:ind w:left="420"/>
      </w:pPr>
      <w:r>
        <w:t xml:space="preserve">1. die Erteilung von Auskünften an die Familiengerichte nach § 220 des Gesetzes über das Verfahren in Familiensachen und in den Angelegenheiten der freiwilligen Gerichtsbarkeit über</w:t>
      </w:r>
    </w:p>
    <w:p>
      <w:pPr>
        <w:ind w:left="780"/>
      </w:pPr>
      <w:r>
        <w:t xml:space="preserve">a) Versorgungsberechtigte des Bundesverfassungsgerichts nach § 2 Absatz 1,</w:t>
      </w:r>
    </w:p>
    <w:p>
      <w:pPr>
        <w:ind w:left="780"/>
      </w:pPr>
      <w:r>
        <w:t xml:space="preserve">b) sonstige Versorgungsberechtigte nach § 2 Absatz 1 bis zum Ende ihres Dienstverhältnisses, ihres öffentlich-rechtlichen Amtsverhältnisses oder ihres Vertragsverhältnisses, sofern die Generalzolldirektion für die erste Festsetzung der Versorgungsbezüge zuständig wäre,</w:t>
      </w:r>
    </w:p>
    <w:p>
      <w:pPr>
        <w:ind w:left="780"/>
      </w:pPr>
      <w:r>
        <w:t xml:space="preserve">c) Versorgungsberechtigte nach § 2 Absatz 1 ab dem Ende ihres Dienstverhältnisses, ihres öffentlich-rechtlichen Amtsverhältnisses oder ihres Vertragsverhältnisses,</w:t>
      </w:r>
    </w:p>
    <w:p>
      <w:pPr>
        <w:ind w:left="420"/>
      </w:pPr>
      <w:r>
        <w:t xml:space="preserve">2. die Festsetzung des Kapitalbetrages nach § 58 des Beamtenversorgungsgesetzes für</w:t>
      </w:r>
    </w:p>
    <w:p>
      <w:pPr>
        <w:ind w:left="780"/>
      </w:pPr>
      <w:r>
        <w:t xml:space="preserve">a) Versorgungsberechtigte des Bundesverfassungsgerichts nach § 2 Absatz 1,</w:t>
      </w:r>
    </w:p>
    <w:p>
      <w:pPr>
        <w:ind w:left="780"/>
      </w:pPr>
      <w:r>
        <w:t xml:space="preserve">b) sonstige Versorgungsberechtigte nach § 2 Absatz 1 bis zum Ende ihres Dienstverhältnisses, ihres öffentlich-rechtlichen Amtsverhältnisses oder ihres Vertragsverhältnisses, sofern die Generalzolldirektion für die erste Festsetzung der Versorgungsbezüge zuständig wäre,</w:t>
      </w:r>
    </w:p>
    <w:p>
      <w:pPr>
        <w:ind w:left="780"/>
      </w:pPr>
      <w:r>
        <w:t xml:space="preserve">c) Versorgungsberechtigte nach § 2 Absatz 1 ab dem Ende ihres Dienstverhältnisses, ihres öffentlich-rechtlichen Amtsverhältnisses oder ihres Vertragsverhältnisses,</w:t>
      </w:r>
    </w:p>
    <w:p>
      <w:pPr>
        <w:ind w:left="420"/>
      </w:pPr>
      <w:r>
        <w:t xml:space="preserve">3. die Erstattung von Aufwendungen der Träger der Rentenversicherung nach § 225 Absatz 1 Satz 1 und § 290 des Sechsten Buches Sozialgesetzbuch auf Grund von Rentenanwartschaften, die durch eine Entscheidung des Familiengerichts begründet worden sind, betreffend</w:t>
      </w:r>
    </w:p>
    <w:p>
      <w:pPr>
        <w:ind w:left="780"/>
      </w:pPr>
      <w:r>
        <w:t xml:space="preserve">a) Versorgungsberechtigte des Bundesverfassungsgerichts nach § 2 Absatz 1,</w:t>
      </w:r>
    </w:p>
    <w:p>
      <w:pPr>
        <w:ind w:left="780"/>
      </w:pPr>
      <w:r>
        <w:t xml:space="preserve">b) sonstige Versorgungsberechtigte nach § 2 Absatz 1 bis zum Ende ihres Dienstverhältnisses, ihres öffentlich-rechtlichen Amtsverhältnisses oder ihres Vertragsverhältnisses, sofern die Generalzolldirektion für die erste Festsetzung der Versorgungsbezüge zuständig wäre,</w:t>
      </w:r>
    </w:p>
    <w:p>
      <w:pPr>
        <w:ind w:left="780"/>
      </w:pPr>
      <w:r>
        <w:t xml:space="preserve">c) Versorgungsberechtigte nach § 2 Absatz 1 ab dem Ende ihres Dienstverhältnisses, ihres öffentlich-rechtlichen Amtsverhältnisses oder ihres Vertragsverhältnisses, wenn das Dienstverhältnis, das öffentlich-rechtliche Amtsverhältnis oder das Vertragsverhältnis durch Eintritt oder Versetzung in den Ruhestand geendet hat oder geendet hätte,</w:t>
      </w:r>
    </w:p>
    <w:p>
      <w:pPr>
        <w:ind w:left="420"/>
      </w:pPr>
      <w:r>
        <w:t xml:space="preserve">4. die Durchführung des Bundesversorgungsteilungsgesetzes für Versorgungsberechtigte nach § 2 Absatz 1,</w:t>
      </w:r>
    </w:p>
    <w:p>
      <w:pPr>
        <w:ind w:left="420"/>
      </w:pPr>
      <w:r>
        <w:t xml:space="preserve">5. die Geltendmachung von Erstattungsansprüchen gegenüber dem zuständigen Träger der gesetzlichen Rentenversicherung oder dem zuständigen Träger der Versorgungslast in den Fällen des § 47a Absatz 2 Satz 1 des Versorgungsausgleichsgesetzes, sofern die Generalzolldirektion für die Zahlung der Leistungen nach dem Bundesversorgungsteilungsgesetzes zuständig ist.</w:t>
      </w:r>
    </w:p>
    <w:p>
      <w:r>
        <w:t xml:space="preserve">(2) Abweichend von Absatz 1 bleibt dem Bundesministerium für Arbeit und Soziales vorbehalten, Auskünfte an das Familiengericht über versorgungsberechtigte Personen des Bundesministeriums für Arbeit und Soziales zu erteilen</w:t>
      </w:r>
    </w:p>
    <w:p>
      <w:pPr>
        <w:ind w:left="420"/>
      </w:pPr>
      <w:r>
        <w:t xml:space="preserve">1. nach § 2 Absatz 1 Nummer 2 Buchstabe b und c und</w:t>
      </w:r>
    </w:p>
    <w:p>
      <w:pPr>
        <w:ind w:left="420"/>
      </w:pPr>
      <w:r>
        <w:t xml:space="preserve">2. nach § 2 Absatz 1 Nummer 3, sofern vertraglich ein Entgelt in Höhe des Grundgehalts der Dienstbezüge einer Bundesbeamtin oder eines Bundesbeamten von der Besoldungsgruppe B9 an aufwärts vereinbart worden ist.</w:t>
      </w:r>
    </w:p>
    <w:p>
      <w:r>
        <w:t xml:space="preserve">(3) Für Altersgeldberechtigte nach § 2 Absatz 3 Satz 1 gilt Absatz 1 entsprechend, wenn die Generalzolldirektion für die erste Festsetzung des Altersgeldes zuständig ist oder die erste Festsetzung des Altersgeldes durch eine andere Stelle bereits erfolgt ist.</w:t>
      </w:r>
    </w:p>
    <w:p>
      <w:r>
        <w:rPr>
          <w:color w:val="555555"/>
          <w:sz w:val="17"/>
        </w:rPr>
        <w:t xml:space="preserve">Zitiervorschlag: § 10 BeamtVAltGZustAnO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https://recht.nulegal.eu/gesetze/BeamtVAltGZustAnO/10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 BeamtVAltGZustAnO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