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BeamtVAltGZustAnO — Anordnungsgegenstand</w:t>
      </w:r>
    </w:p>
    <w:p>
      <w:r>
        <w:rPr>
          <w:color w:val="555555"/>
          <w:sz w:val="18"/>
        </w:rPr>
        <w:t xml:space="preserve">Beamtenversorgungs- und Altersgeldzuständigkeitsanordnung</w:t>
      </w:r>
    </w:p>
    <w:p>
      <w:r>
        <w:rPr>
          <w:color w:val="555555"/>
          <w:sz w:val="18"/>
        </w:rPr>
        <w:t xml:space="preserve">Stand: 21.06.2025 (konsolidierte Textfassung, kein amtliches Inkrafttretensdatum)</w:t>
      </w:r>
    </w:p>
    <w:p>
      <w:r>
        <w:t xml:space="preserve">(1) Diese Anordnung regelt für die in der Anlage genannten Geschäftsbereiche nach Übertragung der Befugnisse durch die obersten Dienstbehörden die Zuständigkeiten für</w:t>
      </w:r>
    </w:p>
    <w:p>
      <w:pPr>
        <w:ind w:left="420"/>
      </w:pPr>
      <w:r>
        <w:t xml:space="preserve">1. die Festsetzung der Versorgungsbezüge nach § 2 Nummer 1, 2, 5 bis 12 in Verbindung mit § 49 Absatz 1 Satz 1 des Beamtenversorgungsgesetzes,</w:t>
      </w:r>
    </w:p>
    <w:p>
      <w:pPr>
        <w:ind w:left="420"/>
      </w:pPr>
      <w:r>
        <w:t xml:space="preserve">2. die Festsetzung der Leistungen nach § 10 Absatz 5 des Altersgeldgesetzes in Verbindung mit § 49 Absatz 1 Satz 1 des Beamtenversorgungsgesetzes oder nach § 2 Absatz 3 Satz 1 und § 10 Absatz 5 des Altersgeldgesetzes in Verbindung mit § 63 Absatz 1 Satz 1 des Soldatenversorgungsgesetzes und die Festsetzung des aus Artikel 45 des Vertrages über die Arbeitsweise der Europäischen Union abgeleiteten Nachteilsausgleichs,</w:t>
      </w:r>
    </w:p>
    <w:p>
      <w:pPr>
        <w:ind w:left="420"/>
      </w:pPr>
      <w:r>
        <w:t xml:space="preserve">3. die Anerkennung eines Dienstunfalls nach § 45 Absatz 3 Satz 2 des Beamtenversorgungsgesetzes und die anschließende Festsetzung der weiteren Unfallfürsorgeleistungen nach § 49 Absatz 1 in Verbindung mit § 2 Nummer 4 des Beamtenversorgungsgesetzes sowie die damit zusammenhängenden folgenden Befugnisse:</w:t>
      </w:r>
    </w:p>
    <w:p>
      <w:pPr>
        <w:ind w:left="780"/>
      </w:pPr>
      <w:r>
        <w:t xml:space="preserve">a) die Bestimmung der Ärztin oder des Arztes nach § 33 Absatz 3 Satz 3 des Beamtenversorgungsgesetzes,</w:t>
      </w:r>
    </w:p>
    <w:p>
      <w:pPr>
        <w:ind w:left="780"/>
      </w:pPr>
      <w:r>
        <w:t xml:space="preserve">b) die Anordnung einer Nachuntersuchung nach § 35 Absatz 3 Satz 2 und § 38 Absatz 6 Satz 2 des Beamtenversorgungsgesetzes,</w:t>
      </w:r>
    </w:p>
    <w:p>
      <w:pPr>
        <w:ind w:left="780"/>
      </w:pPr>
      <w:r>
        <w:t xml:space="preserve">c) die Feststellung einer dauerhaften Minderung der Erwerbsfähigkeit nach § 43 Absatz 1 des Beamtenversorgungsgesetzes,</w:t>
      </w:r>
    </w:p>
    <w:p>
      <w:pPr>
        <w:ind w:left="780"/>
      </w:pPr>
      <w:r>
        <w:t xml:space="preserve">d) die Versagung von Unfallfürsorgeleistungen nach § 44 Absatz 2 Satz 1 des Beamtenversorgungsgesetzes,</w:t>
      </w:r>
    </w:p>
    <w:p>
      <w:pPr>
        <w:ind w:left="420"/>
      </w:pPr>
      <w:r>
        <w:t xml:space="preserve">4. die Geltendmachung eines nach § 76 des Bundesbeamtengesetzes auf den Dienstherrn übergegangenen Schadensersatzanspruchs auf Grund eines Unfalls,</w:t>
      </w:r>
    </w:p>
    <w:p>
      <w:pPr>
        <w:ind w:left="420"/>
      </w:pPr>
      <w:r>
        <w:t xml:space="preserve">5. die Erteilung</w:t>
      </w:r>
    </w:p>
    <w:p>
      <w:pPr>
        <w:ind w:left="780"/>
      </w:pPr>
      <w:r>
        <w:t xml:space="preserve">a) einer Vorabentscheidung über ruhegehaltfähige Zeiten nach § 10 des Beamtenversorgungsgesetzes oder auf Grund von Kann-Vorschriften nach §§ 6a, 11 bis 12, 13 Absatz 2 und 3 in Verbindung mit § 49 Absatz 2 Satz 2 und 3 des Beamtenversorgungsgesetzes sowie über Zeiten nach § 67 Absatz 2 Satz 1 bis 4 des Beamtenversorgungsgesetzes und vorstehende Zeiten in Verbindung mit § 67 Absatz 3 Satz 1 des Beamtenversorgungsgesetzes,</w:t>
      </w:r>
    </w:p>
    <w:p>
      <w:pPr>
        <w:ind w:left="780"/>
      </w:pPr>
      <w:r>
        <w:t xml:space="preserve">b) einer Versorgungsauskunft nach § 49 Absatz 10 Satz 1 des Beamtenversorgungsgesetzes sowie</w:t>
      </w:r>
    </w:p>
    <w:p>
      <w:pPr>
        <w:ind w:left="780"/>
      </w:pPr>
      <w:r>
        <w:t xml:space="preserve">c) einer Altersgeldauskunft nach § 10 Absatz 7 des Altersgeldgesetzes in Verbindung mit § 49 Absatz 10 des Beamtenversorgungsgesetzes,</w:t>
      </w:r>
    </w:p>
    <w:p>
      <w:pPr>
        <w:ind w:left="420"/>
      </w:pPr>
      <w:r>
        <w:t xml:space="preserve">6. die Feststellung über die Wahrscheinlichkeit des Ablebens sowie die sich daran anschließende Festsetzung der Bezüge bei Verschollenheit nach § 29 Absatz 1 und 2 in Verbindung mit § 2 Nummer 3 des Beamtenversorgungsgesetzes,</w:t>
      </w:r>
    </w:p>
    <w:p>
      <w:pPr>
        <w:ind w:left="420"/>
      </w:pPr>
      <w:r>
        <w:t xml:space="preserve">7. folgende Befugnisse, die zur Erfüllung der Aufgaben nach Nummern 1 bis 6 erforderlich oder zweckmäßig sind:</w:t>
      </w:r>
    </w:p>
    <w:p>
      <w:pPr>
        <w:ind w:left="780"/>
      </w:pPr>
      <w:r>
        <w:t xml:space="preserve">a) die Bestellung eines Empfangsbevollmächtigten nach § 49 Absatz 6 des Beamtenversorgungsgesetzes,</w:t>
      </w:r>
    </w:p>
    <w:p>
      <w:pPr>
        <w:ind w:left="780"/>
      </w:pPr>
      <w:r>
        <w:t xml:space="preserve">b) das Absehen von einer Rückforderung aus Billigkeitsgründen nach § 52 Absatz 2 Satz 3 des Beamtenversorgungsgesetzes,</w:t>
      </w:r>
    </w:p>
    <w:p>
      <w:pPr>
        <w:ind w:left="780"/>
      </w:pPr>
      <w:r>
        <w:t xml:space="preserve">c) die Entscheidung über den Entzug und die Wiederzuerkennung von Versorgungsbezügen oder Leistungen nach dem Altersgeldgesetz nach § 62 Absatz 3 Satz 1 und 2 des Beamtenversorgungsgesetzes,</w:t>
      </w:r>
    </w:p>
    <w:p>
      <w:pPr>
        <w:ind w:left="420"/>
      </w:pPr>
      <w:r>
        <w:t xml:space="preserve">8. Maßnahmen betreffend den Versorgungsausgleich und die Durchführung des Bundesversorgungsteilungsgesetzes,</w:t>
      </w:r>
    </w:p>
    <w:p>
      <w:pPr>
        <w:ind w:left="420"/>
      </w:pPr>
      <w:r>
        <w:t xml:space="preserve">9. die Versorgungs- und Altersgeldlastenteilung,</w:t>
      </w:r>
    </w:p>
    <w:p>
      <w:pPr>
        <w:ind w:left="420"/>
      </w:pPr>
      <w:r>
        <w:t xml:space="preserve">10. die Versorgungsangelegenheiten nach dem Gesetz zur Regelung der Rechtsverhältnisse der unter Artikel 131 des Grundgesetzes fallenden Personen (G 131) in der Fassung der Bekanntmachung vom 13. Oktober 1965 (BGBl. I S. 1685), das zuletzt durch Artikel 6 Absatz 21 des Gesetzes vom 27. Dezember 1993 (BGBl. I S. 2378) geändert worden ist, in der bis zum 30. September 1994 geltenden Fassung,</w:t>
      </w:r>
    </w:p>
    <w:p>
      <w:pPr>
        <w:ind w:left="420"/>
      </w:pPr>
      <w:r>
        <w:t xml:space="preserve">11. die Entscheidung über Widersprüche und die Regelung der Vertretung des Dienstherrn bei Klagen aus den in den Nummern 1 bis 10 genannten Angelegenheiten.</w:t>
      </w:r>
    </w:p>
    <w:p>
      <w:r>
        <w:t xml:space="preserve">Die Festsetzung von Leistungen im Sinne dieser Anordnung umfasst auch die weitere rechtliche Bearbeitung sowie Zusammenhangstätigkeiten, insbesondere die Anwendung von Kürzungs-, Anrechnungs- und Ruhensvorschriften.</w:t>
      </w:r>
    </w:p>
    <w:p>
      <w:r>
        <w:t xml:space="preserve">(2) Davon unberührt bleibt die Zuständigkeit</w:t>
      </w:r>
    </w:p>
    <w:p>
      <w:pPr>
        <w:ind w:left="420"/>
      </w:pPr>
      <w:r>
        <w:t xml:space="preserve">1. in versorgungs- und altersgeldrechtlichen Angelegenheiten mit grundsätzlicher Bedeutung, die nach § 49 Absatz 3 des Beamtenversorgungsgesetzes dem Bundesministerium des Innern obliegen, sowie</w:t>
      </w:r>
    </w:p>
    <w:p>
      <w:pPr>
        <w:ind w:left="420"/>
      </w:pPr>
      <w:r>
        <w:t xml:space="preserve">2. für Entscheidungen, die nach § 5 Absatz 3 Satz 2, § 6 Absatz 2 Satz 2, § 60 Satz 2 und § 64 Absatz 1 Satz 1 des Beamtenversorgungsgesetzes ausschließlich einer obersten Dienstbehörde vorbehalten sind.</w:t>
      </w:r>
    </w:p>
    <w:p>
      <w:r>
        <w:rPr>
          <w:color w:val="555555"/>
          <w:sz w:val="17"/>
        </w:rPr>
        <w:t xml:space="preserve">Zitiervorschlag: § 1 BeamtVAltGZustAnO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https://recht.nulegal.eu/gesetze/BeamtVAltGZustAnO/1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