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7 BeamtStG — Voraussetzungen des Beamtenverhältnisses</w:t>
      </w:r>
    </w:p>
    <w:p>
      <w:r>
        <w:rPr>
          <w:color w:val="555555"/>
          <w:sz w:val="18"/>
        </w:rPr>
        <w:t xml:space="preserve">Beamtenstatusgesetz</w:t>
      </w:r>
    </w:p>
    <w:p>
      <w:r>
        <w:rPr>
          <w:color w:val="555555"/>
          <w:sz w:val="18"/>
        </w:rPr>
        <w:t xml:space="preserve">Stand: 08.07.2021 (konsolidierte Textfassung, kein amtliches Inkrafttretensdatum)</w:t>
      </w:r>
    </w:p>
    <w:p>
      <w:r>
        <w:t xml:space="preserve">(1) In das Beamtenverhältnis darf nur berufen werden, wer</w:t>
      </w:r>
    </w:p>
    <w:p>
      <w:pPr>
        <w:ind w:left="420"/>
      </w:pPr>
      <w:r>
        <w:t xml:space="preserve">1. Deutsche oder Deutscher im Sinne des Artikels 116 Absatz 1 des Grundgesetzes ist oder die Staatsangehörigkeit</w:t>
      </w:r>
    </w:p>
    <w:p>
      <w:pPr>
        <w:ind w:left="780"/>
      </w:pPr>
      <w:r>
        <w:t xml:space="preserve">a) eines anderen Mitgliedstaates der Europäischen Union oder</w:t>
      </w:r>
    </w:p>
    <w:p>
      <w:pPr>
        <w:ind w:left="780"/>
      </w:pPr>
      <w:r>
        <w:t xml:space="preserve">b) eines anderen Vertragsstaates des Abkommens über den Europäischen Wirtschaftsraum oder</w:t>
      </w:r>
    </w:p>
    <w:p>
      <w:pPr>
        <w:ind w:left="780"/>
      </w:pPr>
      <w:r>
        <w:t xml:space="preserve">c) eines Drittstaates, dem die Bundesrepublik Deutschland und die Europäische Union vertraglich einen entsprechenden Anspruch auf Anerkennung von Berufsqualifikationen eingeräumt haben,</w:t>
      </w:r>
    </w:p>
    <w:p>
      <w:pPr>
        <w:ind w:left="420"/>
      </w:pPr>
      <w:r>
        <w:t xml:space="preserve">besitzt,</w:t>
      </w:r>
    </w:p>
    <w:p>
      <w:pPr>
        <w:ind w:left="420"/>
      </w:pPr>
      <w:r>
        <w:t xml:space="preserve">2. die Gewähr dafür bietet, jederzeit für die freiheitliche demokratische Grundordnung im Sinne des Grundgesetzes einzutreten, und</w:t>
      </w:r>
    </w:p>
    <w:p>
      <w:pPr>
        <w:ind w:left="420"/>
      </w:pPr>
      <w:r>
        <w:t xml:space="preserve">3. die nach Landesrecht vorgeschriebene Befähigung besitzt.</w:t>
      </w:r>
    </w:p>
    <w:p>
      <w:r>
        <w:t xml:space="preserve">In das Beamtenverhältnis darf nicht berufen werden, wer unveränderliche Merkmale des Erscheinungsbilds aufweist, die mit der Erfüllung der Pflichten nach § 34 Absatz 2 nicht vereinbar sind.</w:t>
      </w:r>
    </w:p>
    <w:p>
      <w:r>
        <w:t xml:space="preserve">(2) Wenn die Aufgaben es erfordern, darf nur eine Deutsche oder ein Deutscher im Sinne des Artikels 116 Absatz 1 des Grundgesetzes in ein Beamtenverhältnis berufen werden.</w:t>
      </w:r>
    </w:p>
    <w:p>
      <w:r>
        <w:t xml:space="preserve">(3) Ausnahmen von Absatz 1 Nr. 1 und Absatz 2 können nur zugelassen werden, wenn</w:t>
      </w:r>
    </w:p>
    <w:p>
      <w:pPr>
        <w:ind w:left="420"/>
      </w:pPr>
      <w:r>
        <w:t xml:space="preserve">1. für die Gewinnung der Beamtin oder des Beamten ein dringendes dienstliches Interesse besteht oder</w:t>
      </w:r>
    </w:p>
    <w:p>
      <w:pPr>
        <w:ind w:left="420"/>
      </w:pPr>
      <w:r>
        <w:t xml:space="preserve">2. bei der Berufung von Hochschullehrerinnen und Hochschullehrern und anderen Mitarbeiterinnen und Mitarbeitern des wissenschaftlichen und künstlerischen Personals in das Beamtenverhältnis andere wichtige Gründe vorliegen.</w:t>
      </w:r>
    </w:p>
    <w:p>
      <w:r>
        <w:rPr>
          <w:color w:val="555555"/>
          <w:sz w:val="17"/>
        </w:rPr>
        <w:t xml:space="preserve">Zitiervorschlag: § 7 BeamtStG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https://recht.nulegal.eu/gesetze/BeamtStG/7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