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 BeamtStG — Inkrafttreten, Außerkrafttreten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25 und 50 treten am Tag nach der Verkündung in Kraft. Gleichzeitig treten die §§ 25 und 26 Abs. 3 sowie die §§ 56 bis 56f des Beamtenrechtsrahmengesetzes in der Fassung der Bekanntmachung vom 31. März 1999 (BGBl. I S 654), das zuletzt durch Artikel 2 Abs. 1 des Gesetzes vom 5. Dezember 2006 (BGBl. I S. 2748) geändert worden ist, außer Kraft.</w:t>
      </w:r>
    </w:p>
    <w:p>
      <w:r>
        <w:t xml:space="preserve">(2) § 62 Abs. 13 und 14 tritt für Bundesbeamtinnen und Bundesbeamte am 12. Februar 2009 in Kraft.</w:t>
      </w:r>
    </w:p>
    <w:p>
      <w:r>
        <w:t xml:space="preserve">(3) Im Übrigen tritt das Gesetz am 1. April 2009 in Kraft. Gleichzeitig tritt das Beamtenrechtsrahmengesetz mit Ausnahme von Kapitel II und § 135 außer Kraft.</w:t>
      </w:r>
    </w:p>
    <w:p>
      <w:r>
        <w:t xml:space="preserve">(4) Die Länder können für die Zeit bis zum Inkrafttreten des § 11 Landesregelungen im Sinne dieser Vorschrift in Kraft setzen. In den Ländern, die davon Gebrauch machen, ist § 8 des Beamtenrechtsrahmengesetzes nicht anzuwenden.</w:t>
      </w:r>
    </w:p>
    <w:p>
      <w:r>
        <w:rPr>
          <w:color w:val="555555"/>
          <w:sz w:val="17"/>
        </w:rPr>
        <w:t xml:space="preserve">Zitiervorschlag: § 63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