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BeamtStG — Personalakte</w:t>
      </w:r>
    </w:p>
    <w:p>
      <w:r>
        <w:rPr>
          <w:color w:val="555555"/>
          <w:sz w:val="18"/>
        </w:rPr>
        <w:t xml:space="preserve">Beamtenstatusgesetz</w:t>
      </w:r>
    </w:p>
    <w:p>
      <w:r>
        <w:rPr>
          <w:color w:val="555555"/>
          <w:sz w:val="18"/>
        </w:rPr>
        <w:t xml:space="preserve">Stand: 02.12.2019 (konsolidierte Textfassung, kein amtliches Inkrafttretensdatum)</w:t>
      </w:r>
    </w:p>
    <w:p>
      <w:r>
        <w:t xml:space="preserve">Für jede Beamtin und jeden Beamten ist eine Personalakte zu führen. Zur Personalakte gehören alle Unterlagen, die die Beamtin oder den Beamten betreffen, soweit sie mit dem Dienstverhältnis in einem unmittelbaren inneren Zusammenhang stehen (Personalaktendaten). Die Personalakte ist vertraulich zu behandeln. Personalaktendaten dürfen ohne Einwilligung der Beamtin oder des Beamten nur für Zwecke der Personalverwaltung oder Personalwirtschaft verarbeitet werden. Für Ausnahmefälle kann landesrechtlich eine von Satz 4 abweichende Verarbeitung vorgesehen werden.</w:t>
      </w:r>
    </w:p>
    <w:p>
      <w:r>
        <w:rPr>
          <w:color w:val="555555"/>
          <w:sz w:val="17"/>
        </w:rPr>
        <w:t xml:space="preserve">Zitiervorschlag: § 50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