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BeamtStG — Ehrenbeamtinnen und Ehrenbeamte</w:t>
      </w:r>
    </w:p>
    <w:p>
      <w:r>
        <w:rPr>
          <w:color w:val="555555"/>
          <w:sz w:val="18"/>
        </w:rPr>
        <w:t xml:space="preserve">Beamtenstatusgesetz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Ehrenbeamtin oder Ehrenbeamter kann berufen werden, wer Aufgaben im Sinne des § 3 Abs. 2 unentgeltlich wahrnehmen soll.</w:t>
      </w:r>
    </w:p>
    <w:p>
      <w:r>
        <w:t xml:space="preserve">(2) Die Rechtsverhältnisse der Ehrenbeamtinnen und Ehrenbeamten können durch Landesrecht abweichend von den für Beamtinnen und Beamte allgemein geltenden Vorschriften geregelt werden, soweit es deren besondere Rechtsstellung erfordert.</w:t>
      </w:r>
    </w:p>
    <w:p>
      <w:r>
        <w:t xml:space="preserve">(3) Ein Ehrenbeamtenverhältnis kann nicht in ein Beamtenverhältnis anderer Art, ein solches Beamtenverhältnis nicht in ein Ehrenbeamtenverhältnis umgewandelt werden.</w:t>
      </w:r>
    </w:p>
    <w:p>
      <w:r>
        <w:rPr>
          <w:color w:val="555555"/>
          <w:sz w:val="17"/>
        </w:rPr>
        <w:t xml:space="preserve">Zitiervorschlag: § 5 BeamtStG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https://recht.nulegal.eu/gesetze/BeamtStG/5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