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BeamtStG — Tätigkeit nach Beendigung des Beamtenverhältnisses</w:t>
      </w:r>
    </w:p>
    <w:p>
      <w:r>
        <w:rPr>
          <w:color w:val="555555"/>
          <w:sz w:val="18"/>
        </w:rPr>
        <w:t xml:space="preserve">Beamtenstatusgesetz</w:t>
      </w:r>
    </w:p>
    <w:p>
      <w:r>
        <w:rPr>
          <w:color w:val="555555"/>
          <w:sz w:val="18"/>
        </w:rPr>
        <w:t xml:space="preserve">Stand: 01.04.2024 (konsolidierte Textfassung, kein amtliches Inkrafttretensdatum)</w:t>
      </w:r>
    </w:p>
    <w:p>
      <w:r>
        <w:t xml:space="preserve">(1) Ruhestandsbeamtinnen und Ruhestandsbeamte sowie frühere Beamtinnen mit Versorgungsbezügen und frühere Beamte mit Versorgungsbezügen haben die Ausübung einer Erwerbstätigkeit oder sonstigen Beschäftigung außerhalb des öffentlichen Dienstes, die mit der dienstlichen Tätigkeit innerhalb eines Zeitraums, dessen Bestimmung dem Landesrecht vorbehalten bleibt, im Zusammenhang steht und durch die dienstliche Interessen beeinträchtigt werden können, anzuzeigen. Die Erwerbstätigkeit oder sonstige Beschäftigung ist zu untersagen, wenn zu besorgen ist, dass durch sie dienstliche Interessen beeinträchtigt werden. Das Verbot endet spätestens mit Ablauf von sieben Jahren nach Beendigung des Beamtenverhältnisses.</w:t>
      </w:r>
    </w:p>
    <w:p>
      <w:r>
        <w:t xml:space="preserve">(2) Durch Landesrecht können für bestimmte Gruppen der in Absatz 1 Satz 1 genannten Beamtinnen und Beamten abweichende Voraussetzungen für eine Anzeige oder Regelungen für eine Genehmigung von Tätigkeiten nach Beendigung des Beamtenverhältnisses bestimmt werden.</w:t>
      </w:r>
    </w:p>
    <w:p>
      <w:r>
        <w:rPr>
          <w:color w:val="555555"/>
          <w:sz w:val="17"/>
        </w:rPr>
        <w:t xml:space="preserve">Zitiervorschlag: § 41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