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40 BeamtStG — Nebentätigkeit</w:t>
      </w:r>
    </w:p>
    <w:p>
      <w:r>
        <w:rPr>
          <w:color w:val="555555"/>
          <w:sz w:val="18"/>
        </w:rPr>
        <w:t xml:space="preserve">Beamtenstatusgesetz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Eine Nebentätigkeit ist grundsätzlich anzeigepflichtig. Sie ist unter Erlaubnis- oder Verbotsvorbehalt zu stellen, soweit sie geeignet ist, dienstliche Interessen zu beeinträchtigen.</w:t>
      </w:r>
    </w:p>
    <w:p>
      <w:r>
        <w:rPr>
          <w:color w:val="555555"/>
          <w:sz w:val="17"/>
        </w:rPr>
        <w:t xml:space="preserve">Zitiervorschlag: § 40 BeamtStG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https://recht.nulegal.eu/gesetze/BeamtStG/40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