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BeamtStG — Beamtenverhältnis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Beamtinnen und Beamte stehen zu ihrem Dienstherrn in einem öffentlich-rechtlichen Dienst- und Treueverhältnis (Beamtenverhältnis).</w:t>
      </w:r>
    </w:p>
    <w:p>
      <w:r>
        <w:t xml:space="preserve">(2) Die Berufung in das Beamtenverhältnis ist nur zulässig zur Wahrnehmung</w:t>
      </w:r>
    </w:p>
    <w:p>
      <w:pPr>
        <w:ind w:left="420"/>
      </w:pPr>
      <w:r>
        <w:t xml:space="preserve">1. hoheitsrechtlicher Aufgaben oder</w:t>
      </w:r>
    </w:p>
    <w:p>
      <w:pPr>
        <w:ind w:left="420"/>
      </w:pPr>
      <w:r>
        <w:t xml:space="preserve">2. solcher Aufgaben, die aus Gründen der Sicherung des Staates oder des öffentlichen Lebens nicht ausschließlich Personen übertragen werden dürfen, die in einem privatrechtlichen Arbeitsverhältnis stehen.</w:t>
      </w:r>
    </w:p>
    <w:p>
      <w:r>
        <w:rPr>
          <w:color w:val="555555"/>
          <w:sz w:val="17"/>
        </w:rPr>
        <w:t xml:space="preserve">Zitiervorschlag: § 3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