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BeamtStG — Beendigungsgründe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Beamtenverhältnis endet durch</w:t>
      </w:r>
    </w:p>
    <w:p>
      <w:pPr>
        <w:ind w:left="420"/>
      </w:pPr>
      <w:r>
        <w:t xml:space="preserve">1. Entlassung,</w:t>
      </w:r>
    </w:p>
    <w:p>
      <w:pPr>
        <w:ind w:left="420"/>
      </w:pPr>
      <w:r>
        <w:t xml:space="preserve">2. Verlust der Beamtenrechte,</w:t>
      </w:r>
    </w:p>
    <w:p>
      <w:pPr>
        <w:ind w:left="420"/>
      </w:pPr>
      <w:r>
        <w:t xml:space="preserve">3. Entfernung aus dem Beamtenverhältnis nach den Disziplinargesetzen oder</w:t>
      </w:r>
    </w:p>
    <w:p>
      <w:pPr>
        <w:ind w:left="420"/>
      </w:pPr>
      <w:r>
        <w:t xml:space="preserve">4. Eintritt oder Versetzung in den Ruhestand.</w:t>
      </w:r>
    </w:p>
    <w:p>
      <w:r>
        <w:rPr>
          <w:color w:val="555555"/>
          <w:sz w:val="17"/>
        </w:rPr>
        <w:t xml:space="preserve">Zitiervorschlag: § 21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