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BeamtStG — Dienstherrnfähigkeit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Recht, Beamtinnen und Beamte zu haben, besitzen</w:t>
      </w:r>
    </w:p>
    <w:p>
      <w:pPr>
        <w:ind w:left="420"/>
      </w:pPr>
      <w:r>
        <w:t xml:space="preserve">1. Länder, Gemeinden und Gemeindeverbände,</w:t>
      </w:r>
    </w:p>
    <w:p>
      <w:pPr>
        <w:ind w:left="420"/>
      </w:pPr>
      <w:r>
        <w:t xml:space="preserve">2. sonstige Körperschaften, Anstalten und Stiftungen des öffentlichen Rechts, die dieses Recht im Zeitpunkt des Inkrafttretens dieses Gesetzes besitzen oder denen es durch ein Landesgesetz oder aufgrund eines Landesgesetzes verliehen wird.</w:t>
      </w:r>
    </w:p>
    <w:p>
      <w:r>
        <w:rPr>
          <w:color w:val="555555"/>
          <w:sz w:val="17"/>
        </w:rPr>
        <w:t xml:space="preserve">Zitiervorschlag: § 2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