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BeamtStG — Versetzung</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und Beamte können auf Antrag oder aus dienstlichen Gründen in den Bereich eines Dienstherrn eines anderen Landes oder des Bundes in ein Amt einer Laufbahn versetzt werden, für die sie die Befähigung besitzen.</w:t>
      </w:r>
    </w:p>
    <w:p>
      <w:r>
        <w:t xml:space="preserve">(2) Eine Versetzung bedarf der Zustimmung der Beamtin oder des Beamten. Abweichend von Satz 1 ist die Versetzung auch ohne Zustimmung zulässig, wenn das neue Amt mit mindestens demselben Grundgehalt verbunden ist wie das bisherige Amt. Stellenzulagen gelten hierbei nicht als Bestandteile des Grundgehalts.</w:t>
      </w:r>
    </w:p>
    <w:p>
      <w:r>
        <w:t xml:space="preserve">(3) Die Versetzung wird von dem abgebenden im Einverständnis mit dem aufnehmenden Dienstherrn verfügt. Das Beamtenverhältnis wird mit dem neuen Dienstherrn fortgesetzt.</w:t>
      </w:r>
    </w:p>
    <w:p>
      <w:r>
        <w:rPr>
          <w:color w:val="555555"/>
          <w:sz w:val="17"/>
        </w:rPr>
        <w:t xml:space="preserve">Zitiervorschlag: § 15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