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13 BeamtStG — Grundsatz</w:t>
      </w:r>
    </w:p>
    <w:p>
      <w:r>
        <w:rPr>
          <w:color w:val="555555"/>
          <w:sz w:val="18"/>
        </w:rPr>
        <w:t xml:space="preserve">Beamtenstatusgesetz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 Vorschriften dieses Abschnitts gelten nur bei landesübergreifender Abordnung, Versetzung und Umbildung von Körperschaften sowie bei einer Abordnung oder Versetzung aus einem Land in die Bundesverwaltung.</w:t>
      </w:r>
    </w:p>
    <w:p>
      <w:r>
        <w:rPr>
          <w:color w:val="555555"/>
          <w:sz w:val="17"/>
        </w:rPr>
        <w:t xml:space="preserve">Zitiervorschlag: § 13 BeamtStG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Dieses Dokument: https://recht.nulegal.eu/gesetze/BeamtStG/13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