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BeamtStG — Rücknahme der Ernennung</w:t>
      </w:r>
    </w:p>
    <w:p>
      <w:r>
        <w:rPr>
          <w:color w:val="555555"/>
          <w:sz w:val="18"/>
        </w:rPr>
        <w:t xml:space="preserve">Beamtenstatusgesetz</w:t>
      </w:r>
    </w:p>
    <w:p>
      <w:r>
        <w:rPr>
          <w:color w:val="555555"/>
          <w:sz w:val="18"/>
        </w:rPr>
        <w:t xml:space="preserve">Stand: 08.07.2021 (konsolidierte Textfassung, kein amtliches Inkrafttretensdatum)</w:t>
      </w:r>
    </w:p>
    <w:p>
      <w:r>
        <w:t xml:space="preserve">(1) Die Ernennung ist mit Wirkung für die Vergangenheit zurückzunehmen, wenn</w:t>
      </w:r>
    </w:p>
    <w:p>
      <w:pPr>
        <w:ind w:left="420"/>
      </w:pPr>
      <w:r>
        <w:t xml:space="preserve">1. sie durch Zwang, arglistige Täuschung oder Bestechung herbeigeführt wurde,</w:t>
      </w:r>
    </w:p>
    <w:p>
      <w:pPr>
        <w:ind w:left="420"/>
      </w:pPr>
      <w:r>
        <w:t xml:space="preserve">2. dem Dienstherrn zum Zeitpunkt der Ernennung nicht bekannt war, dass die ernannte Person vor ihrer Ernennung ein Verbrechen oder Vergehen begangen hat, aufgrund dessen sie vor oder nach ihrer Ernennung rechtskräftig zu einer Strafe verurteilt worden ist und das sie für die Berufung in das Beamtenverhältnis als unwürdig erscheinen lässt,</w:t>
      </w:r>
    </w:p>
    <w:p>
      <w:pPr>
        <w:ind w:left="420"/>
      </w:pPr>
      <w:r>
        <w:t xml:space="preserve">3. die Ernennung nach § 7 Abs. 2 nicht erfolgen durfte und eine Ausnahme nach § 7 Abs. 3 nicht zugelassen war und die Ausnahme nicht nachträglich erteilt wird oder</w:t>
      </w:r>
    </w:p>
    <w:p>
      <w:pPr>
        <w:ind w:left="420"/>
      </w:pPr>
      <w:r>
        <w:t xml:space="preserve">4. eine durch Landesrecht vorgeschriebene Mitwirkung einer unabhängigen Stelle oder einer Aufsichtsbehörde unterblieben ist und nicht nachgeholt wurde.</w:t>
      </w:r>
    </w:p>
    <w:p>
      <w:r>
        <w:t xml:space="preserve">(2) Die Ernennung soll zurückgenommen werden, wenn nicht bekannt war, dass gegen die ernannte Person in einem Disziplinarverfahren auf Entfernung aus dem Beamtenverhältnis oder auf Aberkennung des Ruhegehalts erkannt worden war. Dies gilt auch, wenn die Entscheidung gegen eine Beamtin oder einen Beamten der Europäischen Union oder eines Staates nach § 7 Absatz 1 Satz 1 Nummer 1 ergangen ist.</w:t>
      </w:r>
    </w:p>
    <w:p>
      <w:r>
        <w:rPr>
          <w:color w:val="555555"/>
          <w:sz w:val="17"/>
        </w:rPr>
        <w:t xml:space="preserve">Zitiervorschlag: § 12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