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BeamtStG — Geltungsbereich</w:t>
      </w:r>
    </w:p>
    <w:p>
      <w:r>
        <w:rPr>
          <w:color w:val="555555"/>
          <w:sz w:val="18"/>
        </w:rPr>
        <w:t xml:space="preserve">Beamtenstatusgesetz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regelt das Statusrecht der Beamtinnen und Beamten der Länder, Gemeinden und Gemeindeverbände sowie der sonstigen der Aufsicht eines Landes unterstehenden Körperschaften, Anstalten und Stiftungen des öffentlichen Rechts.</w:t>
      </w:r>
    </w:p>
    <w:p>
      <w:r>
        <w:rPr>
          <w:color w:val="555555"/>
          <w:sz w:val="17"/>
        </w:rPr>
        <w:t xml:space="preserve">Zitiervorschlag: § 1 BeamtStG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https://recht.nulegal.eu/gesetze/BeamtStG/1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