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BeVeFoVO (Nordrhein-Westfalen) — Formulare</w:t>
      </w:r>
    </w:p>
    <w:p>
      <w:r>
        <w:rPr>
          <w:color w:val="555555"/>
          <w:sz w:val="18"/>
        </w:rPr>
        <w:t xml:space="preserve">Betreuungsvergütungsformularverordnung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Anträge nach § 292 Absatz 1 und 2 des Gesetzes über das Verfahren in Familiensachen und in den Angelegenheiten der freiwilligen Gerichtsbarkeit vom 17. Dezember 2008 (BGBl. I S. 2586, 2587) in der jeweils geltenden Fassung wird das in der Anlage zu dieser Verordnung bestimmte Formular eingeführt. Das Formular ist als elektronisches Dokument einzureichen.</w:t>
      </w:r>
    </w:p>
    <w:p>
      <w:r>
        <w:t xml:space="preserve">(2) Absatz 1 gilt nicht für Abrechnungszeiträume, die ganz oder teilweise vor dem 1. Januar 2026 liegen.</w:t>
      </w:r>
    </w:p>
    <w:p>
      <w:r>
        <w:rPr>
          <w:color w:val="555555"/>
          <w:sz w:val="17"/>
        </w:rPr>
        <w:t xml:space="preserve">Zitiervorschlag: § 1 BeVeFoVO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https://recht.nulegal.eu/gesetze/BeVeFoVO/1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