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BeArbThG</w:t>
      </w:r>
    </w:p>
    <w:p>
      <w:r>
        <w:rPr>
          <w:color w:val="555555"/>
          <w:sz w:val="18"/>
        </w:rPr>
        <w:t xml:space="preserve">Ergotherapeutengesetz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vor Inkrafttreten dieses Gesetzes erteilte Erlaubnis als "Beschäftigungs- und Arbeitstherapeut" oder als "Beschäftigungs- und Arbeitstherapeutin" gilt als Erlaubnis nach § 1.</w:t>
      </w:r>
    </w:p>
    <w:p>
      <w:r>
        <w:t xml:space="preserve">(2) Personen, die vor Inkrafttreten dieses Gesetzes eine Ausbildung zum "Beschäftigungs- und Arbeitstherapeuten" oder zur "Beschäftigungs- und Arbeitstherapeutin" begonnen haben, erhalten nach Abschluß ihrer Ausbildung eine Erlaubnis nach § 1, wenn die Voraussetzungen des § 2 Abs. 1 Nr. 2 und 3 vorliegen.</w:t>
      </w:r>
    </w:p>
    <w:p>
      <w:r>
        <w:t xml:space="preserve">(3) Beschäftigungs- und Arbeitstherapeuten, die eine Erlaubnis nach dem Beschäftigungs- und Arbeitstherapeutengesetz besitzen, dürfen die Berufsbezeichnung weiterführen. Außer im Falle des Satzes 1 darf die Berufsbezeichnung "Beschäftigungs- und Arbeitstherapeut" oder "Beschäftigungs- und Arbeitstherapeutin" nicht geführt werden.</w:t>
      </w:r>
    </w:p>
    <w:p>
      <w:r>
        <w:rPr>
          <w:color w:val="555555"/>
          <w:sz w:val="17"/>
        </w:rPr>
        <w:t xml:space="preserve">Zitiervorschlag: § 9 BeArbThG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https://recht.nulegal.eu/gesetze/BeArbThG/9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