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Erlaubnis im Sinne des § 1 gelten:</w:t>
      </w:r>
    </w:p>
    <w:p>
      <w:pPr>
        <w:ind w:left="420"/>
      </w:pPr>
      <w:r>
        <w:t xml:space="preserve">1. eine auf Grund der in § 10 bezeichneten Bestimmungen erteilte staatliche Anerkennung als "Beschäftigungstherapeut" oder "Beschäftigungstherapeutin",</w:t>
      </w:r>
    </w:p>
    <w:p>
      <w:pPr>
        <w:ind w:left="420"/>
      </w:pPr>
      <w:r>
        <w:t xml:space="preserve">2. eine durch ein Prüfungs- und Anerkennungszeugnis der Höheren Fachschule für Beschäftigungs- und Arbeitstherapie (Ergotherapie) der Landeshauptstadt München vor Inkrafttreten dieses Gesetzes oder nach Inkrafttreten dieses Gesetzes auf Grund einer vor seinem Inkrafttreten begonnenen Ausbildung verliehene Anerkennung als "Beschäftigungs- und Arbeitstherapeut (Ergotherapeut)" oder "Beschäftigungs- und Arbeitstherapeutin (Ergotherapeutin)" und</w:t>
      </w:r>
    </w:p>
    <w:p>
      <w:pPr>
        <w:ind w:left="420"/>
      </w:pPr>
      <w:r>
        <w:t xml:space="preserve">3. eine durch ein Prüfungs- und Anerkennungszeugnis der Städtischen Fachschule für Beschäftigungstherapie in München verliehene Anerkennung als "Beschäftigungstherapeut" oder "Beschäftigungstherapeutin".</w:t>
      </w:r>
    </w:p>
    <w:p>
      <w:r>
        <w:t xml:space="preserve">(2) Eine in Absatz 1 genannte Anerkennung gilt auch als Erlaubnis, statt der Berufsbezeichnung nach § 1 die durch die Anerkennung erworbene Berufsbezeichnung weiterzuführen. § 3 gilt entsprechend.</w:t>
      </w:r>
    </w:p>
    <w:p>
      <w:r>
        <w:t xml:space="preserve">(3) (gegenstandslos)</w:t>
      </w:r>
    </w:p>
    <w:p>
      <w:r>
        <w:t xml:space="preserve">(4) (gegenstandslos)</w:t>
      </w:r>
    </w:p>
    <w:p>
      <w:r>
        <w:rPr>
          <w:color w:val="555555"/>
          <w:sz w:val="17"/>
        </w:rPr>
        <w:t xml:space="preserve">Zitiervorschlag: § 8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