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BeArbThG</w:t>
      </w:r>
    </w:p>
    <w:p>
      <w:r>
        <w:rPr>
          <w:color w:val="555555"/>
          <w:sz w:val="18"/>
        </w:rPr>
        <w:t xml:space="preserve">Ergotherapeutengesetz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ohne Erlaubnis nach § 1 die Berufsbezeichnung "Ergotherapeutin" oder "Ergotherapeut",</w:t>
      </w:r>
    </w:p>
    <w:p>
      <w:pPr>
        <w:ind w:left="420"/>
      </w:pPr>
      <w:r>
        <w:t xml:space="preserve">2. ohne Erlaubnis nach § 8 Abs. 2 Satz 1 die Berufsbezeichnung "Beschäftigungstherapeut", "Beschäftigungstherapeutin", "Beschäftigungs- und Arbeitstherapeut (Ergotherapeut)" oder "Beschäftigungs- und Arbeitstherapeutin (Ergotherapeutin)" oder</w:t>
      </w:r>
    </w:p>
    <w:p>
      <w:pPr>
        <w:ind w:left="420"/>
      </w:pPr>
      <w:r>
        <w:t xml:space="preserve">3. entgegen § 9 Abs. 3 Satz 2 die Berufsbezeichnung "Beschäftigungs- und Arbeitstherapeut" oder "Beschäftigungs- und Arbeitstherapeutin"</w:t>
      </w:r>
    </w:p>
    <w:p>
      <w:r>
        <w:t xml:space="preserve">führt.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7 BeArbThG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https://recht.nulegal.eu/gesetze/BeArbThG/7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